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jc w:val="center"/>
        <w:tblLayout w:type="fixed"/>
        <w:tblCellMar>
          <w:top w:w="28" w:type="dxa"/>
          <w:left w:w="28" w:type="dxa"/>
          <w:bottom w:w="28" w:type="dxa"/>
          <w:right w:w="28" w:type="dxa"/>
        </w:tblCellMar>
        <w:tblLook w:val="04A0" w:firstRow="1" w:lastRow="0" w:firstColumn="1" w:lastColumn="0" w:noHBand="0" w:noVBand="1"/>
      </w:tblPr>
      <w:tblGrid>
        <w:gridCol w:w="6361"/>
        <w:gridCol w:w="3287"/>
      </w:tblGrid>
      <w:tr w:rsidR="00A82BA0" w:rsidRPr="00605C6B" w14:paraId="6BACF700" w14:textId="77777777" w:rsidTr="007A3D34">
        <w:trPr>
          <w:cantSplit/>
          <w:trHeight w:val="1709"/>
          <w:jc w:val="center"/>
        </w:trPr>
        <w:tc>
          <w:tcPr>
            <w:tcW w:w="6361" w:type="dxa"/>
            <w:vAlign w:val="center"/>
          </w:tcPr>
          <w:p w14:paraId="67165FFA" w14:textId="77777777" w:rsidR="00A82BA0" w:rsidRPr="00605C6B" w:rsidRDefault="00A82BA0" w:rsidP="007A3D34">
            <w:pPr>
              <w:rPr>
                <w:rFonts w:ascii="Arial" w:eastAsia="MS Mincho" w:hAnsi="Arial" w:cs="Arial"/>
                <w:bCs/>
                <w:sz w:val="20"/>
              </w:rPr>
            </w:pPr>
            <w:r>
              <w:rPr>
                <w:rFonts w:ascii="Calibri" w:eastAsia="MS Mincho" w:hAnsi="Calibri" w:cs="Calibri"/>
                <w:color w:val="002060"/>
                <w:sz w:val="36"/>
                <w:szCs w:val="28"/>
                <w:lang w:eastAsia="pt-BR"/>
              </w:rPr>
              <w:t>15</w:t>
            </w:r>
            <w:r w:rsidRPr="00605C6B">
              <w:rPr>
                <w:rFonts w:ascii="Calibri" w:eastAsia="MS Mincho" w:hAnsi="Calibri" w:cs="Calibri"/>
                <w:color w:val="002060"/>
                <w:sz w:val="36"/>
                <w:szCs w:val="28"/>
                <w:lang w:eastAsia="pt-BR"/>
              </w:rPr>
              <w:t>ª Conferência Internacional da LARES</w:t>
            </w:r>
            <w:r w:rsidRPr="00605C6B">
              <w:rPr>
                <w:rFonts w:ascii="Calibri" w:eastAsia="MS Mincho" w:hAnsi="Calibri" w:cs="Calibri"/>
                <w:color w:val="002060"/>
                <w:sz w:val="36"/>
                <w:szCs w:val="28"/>
                <w:lang w:eastAsia="pt-BR"/>
              </w:rPr>
              <w:br/>
            </w:r>
            <w:r w:rsidRPr="00605C6B">
              <w:rPr>
                <w:rFonts w:ascii="Calibri" w:eastAsia="MS Mincho" w:hAnsi="Calibri"/>
                <w:sz w:val="22"/>
              </w:rPr>
              <w:t>São Paulo - Brasil</w:t>
            </w:r>
          </w:p>
          <w:p w14:paraId="606CEF75" w14:textId="77777777" w:rsidR="00A82BA0" w:rsidRPr="00605C6B" w:rsidRDefault="00A82BA0" w:rsidP="007A3D34">
            <w:pPr>
              <w:autoSpaceDE w:val="0"/>
              <w:autoSpaceDN w:val="0"/>
              <w:adjustRightInd w:val="0"/>
              <w:spacing w:after="120"/>
              <w:rPr>
                <w:rFonts w:ascii="Calibri" w:eastAsia="MS Mincho" w:hAnsi="Calibri" w:cs="Tahoma"/>
                <w:sz w:val="20"/>
              </w:rPr>
            </w:pPr>
            <w:r>
              <w:rPr>
                <w:rFonts w:ascii="Calibri" w:eastAsia="MS Mincho" w:hAnsi="Calibri" w:cs="Calibri"/>
                <w:sz w:val="20"/>
              </w:rPr>
              <w:t>23 a 25 de Setembro de 2015</w:t>
            </w:r>
          </w:p>
        </w:tc>
        <w:tc>
          <w:tcPr>
            <w:tcW w:w="3287" w:type="dxa"/>
            <w:vAlign w:val="center"/>
          </w:tcPr>
          <w:p w14:paraId="4E2B3C16" w14:textId="08B29BF2" w:rsidR="00A82BA0" w:rsidRPr="00605C6B" w:rsidRDefault="00A82BA0" w:rsidP="007A3D34">
            <w:pPr>
              <w:rPr>
                <w:rFonts w:ascii="Arial" w:eastAsia="MS Mincho" w:hAnsi="Arial" w:cs="Arial"/>
                <w:sz w:val="20"/>
                <w:lang w:val="en-US"/>
              </w:rPr>
            </w:pPr>
            <w:r>
              <w:rPr>
                <w:rFonts w:ascii="Arial" w:eastAsia="MS Mincho" w:hAnsi="Arial" w:cs="Arial"/>
                <w:noProof/>
                <w:sz w:val="20"/>
                <w:lang w:eastAsia="pt-BR"/>
              </w:rPr>
              <w:drawing>
                <wp:inline distT="0" distB="0" distL="0" distR="0" wp14:anchorId="2A505695" wp14:editId="7292E6F1">
                  <wp:extent cx="1859280" cy="1051560"/>
                  <wp:effectExtent l="0" t="0" r="7620" b="0"/>
                  <wp:docPr id="5" name="Imagem 5" descr="lare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res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9280" cy="1051560"/>
                          </a:xfrm>
                          <a:prstGeom prst="rect">
                            <a:avLst/>
                          </a:prstGeom>
                          <a:noFill/>
                          <a:ln>
                            <a:noFill/>
                          </a:ln>
                        </pic:spPr>
                      </pic:pic>
                    </a:graphicData>
                  </a:graphic>
                </wp:inline>
              </w:drawing>
            </w:r>
          </w:p>
        </w:tc>
      </w:tr>
    </w:tbl>
    <w:p w14:paraId="1CEC7207" w14:textId="3FAE8124" w:rsidR="00EC32FB" w:rsidRPr="00172776" w:rsidRDefault="00EC32FB" w:rsidP="00EC32FB">
      <w:pPr>
        <w:pStyle w:val="Pr-formataoHTML"/>
        <w:ind w:left="-360"/>
        <w:jc w:val="center"/>
        <w:rPr>
          <w:rFonts w:ascii="Arial" w:hAnsi="Arial" w:cs="Arial"/>
          <w:b/>
          <w:color w:val="222222"/>
          <w:sz w:val="28"/>
          <w:szCs w:val="24"/>
        </w:rPr>
      </w:pPr>
      <w:r w:rsidRPr="00172776">
        <w:rPr>
          <w:rFonts w:ascii="Arial" w:hAnsi="Arial" w:cs="Arial"/>
          <w:b/>
          <w:color w:val="222222"/>
          <w:sz w:val="28"/>
          <w:szCs w:val="24"/>
        </w:rPr>
        <w:t xml:space="preserve">A Queda dos Preços dos Imóveis no Brasil, os Índices de Preços, e os </w:t>
      </w:r>
      <w:proofErr w:type="spellStart"/>
      <w:r w:rsidRPr="00172776">
        <w:rPr>
          <w:rFonts w:ascii="Arial" w:hAnsi="Arial" w:cs="Arial"/>
          <w:b/>
          <w:i/>
          <w:color w:val="222222"/>
          <w:sz w:val="28"/>
          <w:szCs w:val="24"/>
        </w:rPr>
        <w:t>Working</w:t>
      </w:r>
      <w:proofErr w:type="spellEnd"/>
      <w:r w:rsidRPr="00172776">
        <w:rPr>
          <w:rFonts w:ascii="Arial" w:hAnsi="Arial" w:cs="Arial"/>
          <w:b/>
          <w:i/>
          <w:color w:val="222222"/>
          <w:sz w:val="28"/>
          <w:szCs w:val="24"/>
        </w:rPr>
        <w:t xml:space="preserve"> </w:t>
      </w:r>
      <w:proofErr w:type="spellStart"/>
      <w:r w:rsidRPr="00172776">
        <w:rPr>
          <w:rFonts w:ascii="Arial" w:hAnsi="Arial" w:cs="Arial"/>
          <w:b/>
          <w:i/>
          <w:color w:val="222222"/>
          <w:sz w:val="28"/>
          <w:szCs w:val="24"/>
        </w:rPr>
        <w:t>Papers</w:t>
      </w:r>
      <w:proofErr w:type="spellEnd"/>
      <w:r w:rsidRPr="00172776">
        <w:rPr>
          <w:rFonts w:ascii="Arial" w:hAnsi="Arial" w:cs="Arial"/>
          <w:b/>
          <w:color w:val="222222"/>
          <w:sz w:val="28"/>
          <w:szCs w:val="24"/>
        </w:rPr>
        <w:t xml:space="preserve"> do BIS: uma perspectiva para </w:t>
      </w:r>
      <w:r w:rsidR="00480EF4">
        <w:rPr>
          <w:rFonts w:ascii="Arial" w:hAnsi="Arial" w:cs="Arial"/>
          <w:b/>
          <w:color w:val="222222"/>
          <w:sz w:val="28"/>
          <w:szCs w:val="24"/>
        </w:rPr>
        <w:t xml:space="preserve">as </w:t>
      </w:r>
      <w:r w:rsidRPr="00172776">
        <w:rPr>
          <w:rFonts w:ascii="Arial" w:hAnsi="Arial" w:cs="Arial"/>
          <w:b/>
          <w:color w:val="222222"/>
          <w:sz w:val="28"/>
          <w:szCs w:val="24"/>
        </w:rPr>
        <w:t>política</w:t>
      </w:r>
      <w:r w:rsidR="00480EF4">
        <w:rPr>
          <w:rFonts w:ascii="Arial" w:hAnsi="Arial" w:cs="Arial"/>
          <w:b/>
          <w:color w:val="222222"/>
          <w:sz w:val="28"/>
          <w:szCs w:val="24"/>
        </w:rPr>
        <w:t>s</w:t>
      </w:r>
      <w:r w:rsidRPr="00172776">
        <w:rPr>
          <w:rFonts w:ascii="Arial" w:hAnsi="Arial" w:cs="Arial"/>
          <w:b/>
          <w:color w:val="222222"/>
          <w:sz w:val="28"/>
          <w:szCs w:val="24"/>
        </w:rPr>
        <w:t xml:space="preserve"> econômica e monetária</w:t>
      </w:r>
    </w:p>
    <w:p w14:paraId="25365932" w14:textId="77777777" w:rsidR="00172776" w:rsidRDefault="00172776" w:rsidP="0034139D">
      <w:pPr>
        <w:pStyle w:val="LARESAuthors"/>
        <w:rPr>
          <w:lang w:val="pt-BR"/>
        </w:rPr>
      </w:pPr>
    </w:p>
    <w:p w14:paraId="2357645F" w14:textId="7533101D" w:rsidR="0034139D" w:rsidRDefault="0034139D" w:rsidP="0034139D">
      <w:pPr>
        <w:pStyle w:val="LARESAuthors"/>
        <w:rPr>
          <w:lang w:val="pt-BR"/>
        </w:rPr>
      </w:pPr>
      <w:r>
        <w:rPr>
          <w:lang w:val="pt-BR"/>
        </w:rPr>
        <w:t>Claudio Martins Gaiarsa</w:t>
      </w:r>
      <w:r w:rsidR="00B65E81" w:rsidRPr="00B65E81">
        <w:rPr>
          <w:b w:val="0"/>
          <w:vertAlign w:val="superscript"/>
          <w:lang w:val="pt-BR"/>
        </w:rPr>
        <w:t>1</w:t>
      </w:r>
    </w:p>
    <w:p w14:paraId="325A2614" w14:textId="1624B32B" w:rsidR="00B65E81" w:rsidRDefault="0034139D" w:rsidP="00F52AA2">
      <w:pPr>
        <w:pStyle w:val="LARESAddresses"/>
        <w:spacing w:after="0"/>
        <w:ind w:left="284"/>
        <w:jc w:val="left"/>
        <w:rPr>
          <w:sz w:val="22"/>
          <w:lang w:val="pt-BR"/>
        </w:rPr>
      </w:pPr>
      <w:r w:rsidRPr="00F77019">
        <w:rPr>
          <w:sz w:val="22"/>
          <w:vertAlign w:val="superscript"/>
          <w:lang w:val="pt-BR"/>
        </w:rPr>
        <w:t xml:space="preserve">1 </w:t>
      </w:r>
      <w:r w:rsidR="00B65E81">
        <w:rPr>
          <w:sz w:val="22"/>
          <w:lang w:val="pt-BR"/>
        </w:rPr>
        <w:t>Banco Central do Brasil – Analista do Departame</w:t>
      </w:r>
      <w:r w:rsidR="00172776">
        <w:rPr>
          <w:sz w:val="22"/>
          <w:lang w:val="pt-BR"/>
        </w:rPr>
        <w:t>n</w:t>
      </w:r>
      <w:r w:rsidR="00B65E81">
        <w:rPr>
          <w:sz w:val="22"/>
          <w:lang w:val="pt-BR"/>
        </w:rPr>
        <w:t xml:space="preserve">to de </w:t>
      </w:r>
      <w:r w:rsidR="00172776">
        <w:rPr>
          <w:sz w:val="22"/>
          <w:lang w:val="pt-BR"/>
        </w:rPr>
        <w:t>S</w:t>
      </w:r>
      <w:r w:rsidR="00B65E81">
        <w:rPr>
          <w:sz w:val="22"/>
          <w:lang w:val="pt-BR"/>
        </w:rPr>
        <w:t>upervisão</w:t>
      </w:r>
      <w:r w:rsidR="00172776">
        <w:rPr>
          <w:sz w:val="22"/>
          <w:lang w:val="pt-BR"/>
        </w:rPr>
        <w:t xml:space="preserve"> </w:t>
      </w:r>
      <w:r w:rsidR="00B65E81">
        <w:rPr>
          <w:sz w:val="22"/>
          <w:lang w:val="pt-BR"/>
        </w:rPr>
        <w:t>Bancária</w:t>
      </w:r>
    </w:p>
    <w:p w14:paraId="108E8040" w14:textId="556F392D" w:rsidR="00D60810" w:rsidRDefault="00B65E81" w:rsidP="00F52AA2">
      <w:pPr>
        <w:pStyle w:val="LARESAddresses"/>
        <w:spacing w:after="0"/>
        <w:ind w:left="284"/>
        <w:jc w:val="left"/>
        <w:rPr>
          <w:sz w:val="22"/>
          <w:lang w:val="pt-BR"/>
        </w:rPr>
      </w:pPr>
      <w:r>
        <w:rPr>
          <w:sz w:val="22"/>
          <w:lang w:val="pt-BR"/>
        </w:rPr>
        <w:t>Mestre em Engenharia Civil pel</w:t>
      </w:r>
      <w:r w:rsidR="004C119F">
        <w:rPr>
          <w:sz w:val="22"/>
          <w:lang w:val="pt-BR"/>
        </w:rPr>
        <w:t xml:space="preserve">o Núcleo de Real </w:t>
      </w:r>
      <w:proofErr w:type="spellStart"/>
      <w:r w:rsidR="004C119F">
        <w:rPr>
          <w:sz w:val="22"/>
          <w:lang w:val="pt-BR"/>
        </w:rPr>
        <w:t>Estate</w:t>
      </w:r>
      <w:proofErr w:type="spellEnd"/>
      <w:r w:rsidR="004C119F">
        <w:rPr>
          <w:sz w:val="22"/>
          <w:lang w:val="pt-BR"/>
        </w:rPr>
        <w:t xml:space="preserve"> d</w:t>
      </w:r>
      <w:r>
        <w:rPr>
          <w:sz w:val="22"/>
          <w:lang w:val="pt-BR"/>
        </w:rPr>
        <w:t>a Escola Politécnica da USP</w:t>
      </w:r>
      <w:r w:rsidR="00172776">
        <w:rPr>
          <w:sz w:val="22"/>
          <w:lang w:val="pt-BR"/>
        </w:rPr>
        <w:t>- 2010</w:t>
      </w:r>
    </w:p>
    <w:p w14:paraId="7C49563D" w14:textId="5B61E3DB" w:rsidR="00D60810" w:rsidRDefault="00D60810" w:rsidP="00F52AA2">
      <w:pPr>
        <w:pStyle w:val="LARESAddresses"/>
        <w:spacing w:after="0"/>
        <w:ind w:left="284"/>
        <w:jc w:val="left"/>
        <w:rPr>
          <w:sz w:val="22"/>
          <w:lang w:val="pt-BR"/>
        </w:rPr>
      </w:pPr>
      <w:r>
        <w:rPr>
          <w:sz w:val="22"/>
          <w:lang w:val="pt-BR"/>
        </w:rPr>
        <w:t>Graduado em Administração P</w:t>
      </w:r>
      <w:r w:rsidR="004C119F">
        <w:rPr>
          <w:sz w:val="22"/>
          <w:lang w:val="pt-BR"/>
        </w:rPr>
        <w:t>ú</w:t>
      </w:r>
      <w:r>
        <w:rPr>
          <w:sz w:val="22"/>
          <w:lang w:val="pt-BR"/>
        </w:rPr>
        <w:t>blica pela EAESP da Fundação Getúlio Vargas</w:t>
      </w:r>
      <w:r w:rsidR="00172776">
        <w:rPr>
          <w:sz w:val="22"/>
          <w:lang w:val="pt-BR"/>
        </w:rPr>
        <w:t xml:space="preserve"> - 1975</w:t>
      </w:r>
    </w:p>
    <w:p w14:paraId="28BDFA70" w14:textId="18FA23A2" w:rsidR="00D60810" w:rsidRPr="004C119F" w:rsidRDefault="00D60810" w:rsidP="00F52AA2">
      <w:pPr>
        <w:pStyle w:val="LARESAddresses"/>
        <w:spacing w:after="0"/>
        <w:ind w:left="284"/>
        <w:jc w:val="left"/>
        <w:rPr>
          <w:sz w:val="22"/>
          <w:lang w:val="en-US"/>
        </w:rPr>
      </w:pPr>
      <w:r w:rsidRPr="004C119F">
        <w:rPr>
          <w:sz w:val="22"/>
          <w:lang w:val="en-US"/>
        </w:rPr>
        <w:t>Diploma in Development Planning pela University</w:t>
      </w:r>
      <w:r w:rsidR="004C119F" w:rsidRPr="004C119F">
        <w:rPr>
          <w:sz w:val="22"/>
          <w:lang w:val="en-US"/>
        </w:rPr>
        <w:t xml:space="preserve"> </w:t>
      </w:r>
      <w:r w:rsidRPr="004C119F">
        <w:rPr>
          <w:sz w:val="22"/>
          <w:lang w:val="en-US"/>
        </w:rPr>
        <w:t>College London</w:t>
      </w:r>
      <w:r w:rsidR="00172776">
        <w:rPr>
          <w:sz w:val="22"/>
          <w:lang w:val="en-US"/>
        </w:rPr>
        <w:t xml:space="preserve"> - 1979</w:t>
      </w:r>
    </w:p>
    <w:p w14:paraId="320E6EB3" w14:textId="431A91C6" w:rsidR="00D16E06" w:rsidRDefault="00D16E06" w:rsidP="00F52AA2">
      <w:pPr>
        <w:pStyle w:val="LARESAddresses"/>
        <w:spacing w:after="0"/>
        <w:ind w:left="284"/>
        <w:jc w:val="left"/>
        <w:rPr>
          <w:sz w:val="22"/>
          <w:lang w:val="pt-BR"/>
        </w:rPr>
      </w:pPr>
      <w:r>
        <w:rPr>
          <w:sz w:val="22"/>
          <w:lang w:val="pt-BR"/>
        </w:rPr>
        <w:t>Av. Paulista 1804, São Paulo</w:t>
      </w:r>
      <w:r w:rsidR="00463CE1">
        <w:rPr>
          <w:sz w:val="22"/>
          <w:lang w:val="pt-BR"/>
        </w:rPr>
        <w:t xml:space="preserve"> –</w:t>
      </w:r>
      <w:r>
        <w:rPr>
          <w:sz w:val="22"/>
          <w:lang w:val="pt-BR"/>
        </w:rPr>
        <w:t xml:space="preserve"> SP</w:t>
      </w:r>
      <w:r w:rsidR="00463CE1">
        <w:rPr>
          <w:sz w:val="22"/>
          <w:lang w:val="pt-BR"/>
        </w:rPr>
        <w:t xml:space="preserve"> – Br</w:t>
      </w:r>
      <w:r>
        <w:rPr>
          <w:sz w:val="22"/>
          <w:lang w:val="pt-BR"/>
        </w:rPr>
        <w:t>asil</w:t>
      </w:r>
    </w:p>
    <w:p w14:paraId="54922579" w14:textId="151A7238" w:rsidR="00D16E06" w:rsidRDefault="00D16E06" w:rsidP="00F52AA2">
      <w:pPr>
        <w:pStyle w:val="LARESAddresses"/>
        <w:spacing w:after="0"/>
        <w:ind w:left="284"/>
        <w:jc w:val="left"/>
        <w:rPr>
          <w:sz w:val="22"/>
          <w:lang w:val="pt-BR"/>
        </w:rPr>
      </w:pPr>
      <w:r>
        <w:rPr>
          <w:sz w:val="22"/>
          <w:lang w:val="pt-BR"/>
        </w:rPr>
        <w:t>Gaiarsac@gmail.com</w:t>
      </w:r>
    </w:p>
    <w:p w14:paraId="0DC9F98C" w14:textId="6F926F21" w:rsidR="0034139D" w:rsidRPr="00F77019" w:rsidRDefault="00C201C2" w:rsidP="0034139D">
      <w:pPr>
        <w:pStyle w:val="LARESAbstractHeading"/>
        <w:rPr>
          <w:lang w:val="pt-BR"/>
        </w:rPr>
      </w:pPr>
      <w:r>
        <w:rPr>
          <w:lang w:val="pt-BR"/>
        </w:rPr>
        <w:t>RESUMO</w:t>
      </w:r>
    </w:p>
    <w:p w14:paraId="76744E7B" w14:textId="3B687580" w:rsidR="00AB50C8" w:rsidRDefault="00AB50C8" w:rsidP="00AB50C8">
      <w:pPr>
        <w:ind w:firstLine="708"/>
        <w:jc w:val="both"/>
        <w:rPr>
          <w:rFonts w:eastAsia="Times New Roman" w:cs="Times New Roman"/>
          <w:color w:val="222222"/>
          <w:sz w:val="22"/>
          <w:lang w:eastAsia="pt-BR"/>
        </w:rPr>
      </w:pPr>
      <w:r>
        <w:rPr>
          <w:rFonts w:eastAsia="Times New Roman" w:cs="Times New Roman"/>
          <w:color w:val="222222"/>
          <w:sz w:val="22"/>
          <w:lang w:eastAsia="pt-BR"/>
        </w:rPr>
        <w:t xml:space="preserve">O setor de </w:t>
      </w:r>
      <w:r w:rsidRPr="008509E4">
        <w:rPr>
          <w:rFonts w:eastAsia="Times New Roman" w:cs="Times New Roman"/>
          <w:i/>
          <w:color w:val="222222"/>
          <w:sz w:val="22"/>
          <w:lang w:eastAsia="pt-BR"/>
        </w:rPr>
        <w:t>re</w:t>
      </w:r>
      <w:r w:rsidRPr="00203A29">
        <w:rPr>
          <w:rFonts w:eastAsia="Times New Roman" w:cs="Times New Roman"/>
          <w:i/>
          <w:color w:val="222222"/>
          <w:sz w:val="22"/>
          <w:lang w:eastAsia="pt-BR"/>
        </w:rPr>
        <w:t xml:space="preserve">al </w:t>
      </w:r>
      <w:proofErr w:type="spellStart"/>
      <w:r>
        <w:rPr>
          <w:rFonts w:eastAsia="Times New Roman" w:cs="Times New Roman"/>
          <w:i/>
          <w:color w:val="222222"/>
          <w:sz w:val="22"/>
          <w:lang w:eastAsia="pt-BR"/>
        </w:rPr>
        <w:t>e</w:t>
      </w:r>
      <w:r w:rsidRPr="00203A29">
        <w:rPr>
          <w:rFonts w:eastAsia="Times New Roman" w:cs="Times New Roman"/>
          <w:i/>
          <w:color w:val="222222"/>
          <w:sz w:val="22"/>
          <w:lang w:eastAsia="pt-BR"/>
        </w:rPr>
        <w:t>state</w:t>
      </w:r>
      <w:proofErr w:type="spellEnd"/>
      <w:r>
        <w:rPr>
          <w:rFonts w:eastAsia="Times New Roman" w:cs="Times New Roman"/>
          <w:color w:val="222222"/>
          <w:sz w:val="22"/>
          <w:lang w:eastAsia="pt-BR"/>
        </w:rPr>
        <w:t xml:space="preserve"> vem ganhando relevância no cenário econômico e financeiro brasileiro. Essa relevância tem crescido à medida que os financiamentos habitacionais </w:t>
      </w:r>
      <w:r w:rsidR="00F460AC">
        <w:rPr>
          <w:rFonts w:eastAsia="Times New Roman" w:cs="Times New Roman"/>
          <w:color w:val="222222"/>
          <w:sz w:val="22"/>
          <w:lang w:eastAsia="pt-BR"/>
        </w:rPr>
        <w:t>têm</w:t>
      </w:r>
      <w:r>
        <w:rPr>
          <w:rFonts w:eastAsia="Times New Roman" w:cs="Times New Roman"/>
          <w:color w:val="222222"/>
          <w:sz w:val="22"/>
          <w:lang w:eastAsia="pt-BR"/>
        </w:rPr>
        <w:t xml:space="preserve"> aumentado sua participação nos balanços das instituições financeiras. O monitoramento permanente desses ativos passa a ganhar importância, a exemplo de todos os ativos do sistema financeiro, à medida que a higidez dessas instituições depende, de forma crescente, desses ativos. O crescimento da importância dos ativos imobiliários, em especial dos imóveis residenciais, acrescenta uma nova dimensão ao ciclo econômico, introduzindo uma possiblidade adicional para a geração de crises: a desvalorização dos imóveis, e sua repercussão sobre o sistema financeiro. A forma universalmente adotada para acompanhamento da evolução desses ativos são os índices de preços dos imóveis residenciais, ainda que as maneiras de fazê-lo sejam tantas quantos índices existem pelo mundo. A construção de um índice de preços de imóveis é tarefa muito mais difícil do que de um índice de preços ao consumidor, já que os preços só se materializam no momento da compra e venda de um imóvel, evento pouco frequente, agravado pela singularidade de cada imóvel transacionado. A essa já amplamente reconhecida dificuldade, soma-se a de utilização dessa medição para a elaboração das políticas econômica e monetária. O </w:t>
      </w:r>
      <w:proofErr w:type="spellStart"/>
      <w:r>
        <w:rPr>
          <w:rFonts w:eastAsia="Times New Roman" w:cs="Times New Roman"/>
          <w:color w:val="222222"/>
          <w:sz w:val="22"/>
          <w:lang w:eastAsia="pt-BR"/>
        </w:rPr>
        <w:t>BIS-Bank</w:t>
      </w:r>
      <w:proofErr w:type="spellEnd"/>
      <w:r>
        <w:rPr>
          <w:rFonts w:eastAsia="Times New Roman" w:cs="Times New Roman"/>
          <w:color w:val="222222"/>
          <w:sz w:val="22"/>
          <w:lang w:eastAsia="pt-BR"/>
        </w:rPr>
        <w:t xml:space="preserve"> for </w:t>
      </w:r>
      <w:proofErr w:type="spellStart"/>
      <w:r>
        <w:rPr>
          <w:rFonts w:eastAsia="Times New Roman" w:cs="Times New Roman"/>
          <w:color w:val="222222"/>
          <w:sz w:val="22"/>
          <w:lang w:eastAsia="pt-BR"/>
        </w:rPr>
        <w:t>International</w:t>
      </w:r>
      <w:proofErr w:type="spellEnd"/>
      <w:r>
        <w:rPr>
          <w:rFonts w:eastAsia="Times New Roman" w:cs="Times New Roman"/>
          <w:color w:val="222222"/>
          <w:sz w:val="22"/>
          <w:lang w:eastAsia="pt-BR"/>
        </w:rPr>
        <w:t xml:space="preserve"> </w:t>
      </w:r>
      <w:proofErr w:type="spellStart"/>
      <w:r>
        <w:rPr>
          <w:rFonts w:eastAsia="Times New Roman" w:cs="Times New Roman"/>
          <w:color w:val="222222"/>
          <w:sz w:val="22"/>
          <w:lang w:eastAsia="pt-BR"/>
        </w:rPr>
        <w:t>Settlements</w:t>
      </w:r>
      <w:proofErr w:type="spellEnd"/>
      <w:r>
        <w:rPr>
          <w:rFonts w:eastAsia="Times New Roman" w:cs="Times New Roman"/>
          <w:color w:val="222222"/>
          <w:sz w:val="22"/>
          <w:lang w:eastAsia="pt-BR"/>
        </w:rPr>
        <w:t>, em associação com o FMI, promoveu uma conferência em 2003 para discutir a respeito da construção e utilização desse tipo de índice, com destaque para as dificuldades na sua interpretação e na elaboração de políticas econômicas e monetárias correspondentes. Tanto essa dificuldade é real, que mesmo com todo o empenho daquelas instituições, em 2003, praticamente nada resultou para enfrentar a crise econômica de 2008, originada do exacerbamento do ciclo imobiliário nos países de economia madura. As séries temporais de dois índices brasileiros são comparadas, e são lançadas</w:t>
      </w:r>
      <w:r w:rsidRPr="00032A67">
        <w:rPr>
          <w:rFonts w:eastAsia="Times New Roman" w:cs="Times New Roman"/>
          <w:color w:val="222222"/>
          <w:sz w:val="22"/>
          <w:lang w:eastAsia="pt-BR"/>
        </w:rPr>
        <w:t xml:space="preserve"> </w:t>
      </w:r>
      <w:r>
        <w:rPr>
          <w:rFonts w:eastAsia="Times New Roman" w:cs="Times New Roman"/>
          <w:color w:val="222222"/>
          <w:sz w:val="22"/>
          <w:lang w:eastAsia="pt-BR"/>
        </w:rPr>
        <w:t>hipóteses para as divergências surgidas dessa comparação, com base no material elaborado pelo BIS/FMI.</w:t>
      </w:r>
    </w:p>
    <w:p w14:paraId="2E37448B" w14:textId="77777777" w:rsidR="0034139D" w:rsidRPr="00B55864" w:rsidRDefault="0034139D" w:rsidP="0034139D">
      <w:pPr>
        <w:pStyle w:val="LARESAbstracttext"/>
        <w:rPr>
          <w:strike/>
        </w:rPr>
      </w:pPr>
    </w:p>
    <w:p w14:paraId="4E2673A3" w14:textId="64BC2C62" w:rsidR="00F46B16" w:rsidRDefault="0034139D" w:rsidP="00E76C2C">
      <w:pPr>
        <w:pStyle w:val="LARESKeywords"/>
        <w:jc w:val="both"/>
        <w:rPr>
          <w:szCs w:val="22"/>
          <w:lang w:val="pt-BR"/>
        </w:rPr>
      </w:pPr>
      <w:r w:rsidRPr="00F77019">
        <w:rPr>
          <w:b/>
          <w:bCs/>
          <w:szCs w:val="24"/>
          <w:lang w:val="pt-BR"/>
        </w:rPr>
        <w:t>Palavras-chave</w:t>
      </w:r>
      <w:r w:rsidRPr="00463CE1">
        <w:rPr>
          <w:bCs/>
          <w:szCs w:val="24"/>
          <w:lang w:val="pt-BR"/>
        </w:rPr>
        <w:t xml:space="preserve">: </w:t>
      </w:r>
      <w:r w:rsidR="00F46B16">
        <w:rPr>
          <w:bCs/>
          <w:szCs w:val="24"/>
          <w:lang w:val="pt-BR"/>
        </w:rPr>
        <w:t>Í</w:t>
      </w:r>
      <w:r w:rsidR="00463CE1" w:rsidRPr="00463CE1">
        <w:rPr>
          <w:bCs/>
          <w:szCs w:val="24"/>
          <w:lang w:val="pt-BR"/>
        </w:rPr>
        <w:t xml:space="preserve">ndice de </w:t>
      </w:r>
      <w:r w:rsidR="00E057B3">
        <w:rPr>
          <w:bCs/>
          <w:szCs w:val="24"/>
          <w:lang w:val="pt-BR"/>
        </w:rPr>
        <w:t>p</w:t>
      </w:r>
      <w:r w:rsidR="00463CE1" w:rsidRPr="00463CE1">
        <w:rPr>
          <w:bCs/>
          <w:szCs w:val="24"/>
          <w:lang w:val="pt-BR"/>
        </w:rPr>
        <w:t xml:space="preserve">reços de </w:t>
      </w:r>
      <w:r w:rsidR="00463CE1">
        <w:rPr>
          <w:bCs/>
          <w:szCs w:val="24"/>
          <w:lang w:val="pt-BR"/>
        </w:rPr>
        <w:t>imóveis</w:t>
      </w:r>
      <w:r w:rsidR="00E76C2C">
        <w:rPr>
          <w:bCs/>
          <w:szCs w:val="24"/>
          <w:lang w:val="pt-BR"/>
        </w:rPr>
        <w:t>,</w:t>
      </w:r>
      <w:r w:rsidR="00463CE1">
        <w:rPr>
          <w:szCs w:val="22"/>
          <w:lang w:val="pt-BR"/>
        </w:rPr>
        <w:t xml:space="preserve"> </w:t>
      </w:r>
      <w:r w:rsidR="00094CDE">
        <w:rPr>
          <w:szCs w:val="22"/>
          <w:lang w:val="pt-BR"/>
        </w:rPr>
        <w:t>política monetária</w:t>
      </w:r>
      <w:r w:rsidR="00E76C2C">
        <w:rPr>
          <w:szCs w:val="22"/>
          <w:lang w:val="pt-BR"/>
        </w:rPr>
        <w:t>,</w:t>
      </w:r>
      <w:r w:rsidR="00094CDE">
        <w:rPr>
          <w:szCs w:val="22"/>
          <w:lang w:val="pt-BR"/>
        </w:rPr>
        <w:t xml:space="preserve"> </w:t>
      </w:r>
      <w:r w:rsidR="00F46B16">
        <w:rPr>
          <w:szCs w:val="22"/>
          <w:lang w:val="pt-BR"/>
        </w:rPr>
        <w:t>IVG-R</w:t>
      </w:r>
      <w:r w:rsidR="00E76C2C">
        <w:rPr>
          <w:szCs w:val="22"/>
          <w:lang w:val="pt-BR"/>
        </w:rPr>
        <w:t>,</w:t>
      </w:r>
      <w:r w:rsidR="00463CE1">
        <w:rPr>
          <w:szCs w:val="22"/>
          <w:lang w:val="pt-BR"/>
        </w:rPr>
        <w:t xml:space="preserve"> Fipe-Zap</w:t>
      </w:r>
      <w:r w:rsidR="00E76C2C">
        <w:rPr>
          <w:szCs w:val="22"/>
          <w:lang w:val="pt-BR"/>
        </w:rPr>
        <w:t>,</w:t>
      </w:r>
      <w:r w:rsidR="00F52AA2">
        <w:rPr>
          <w:szCs w:val="22"/>
          <w:lang w:val="pt-BR"/>
        </w:rPr>
        <w:t xml:space="preserve"> </w:t>
      </w:r>
      <w:proofErr w:type="spellStart"/>
      <w:r w:rsidR="0064183C">
        <w:rPr>
          <w:szCs w:val="22"/>
          <w:lang w:val="pt-BR"/>
        </w:rPr>
        <w:t>BIS-</w:t>
      </w:r>
      <w:r w:rsidR="005B18EE">
        <w:rPr>
          <w:szCs w:val="22"/>
          <w:lang w:val="pt-BR"/>
        </w:rPr>
        <w:t>Bank</w:t>
      </w:r>
      <w:proofErr w:type="spellEnd"/>
      <w:r w:rsidR="005B18EE">
        <w:rPr>
          <w:szCs w:val="22"/>
          <w:lang w:val="pt-BR"/>
        </w:rPr>
        <w:t xml:space="preserve"> for </w:t>
      </w:r>
      <w:proofErr w:type="spellStart"/>
      <w:r w:rsidR="005B18EE">
        <w:rPr>
          <w:szCs w:val="22"/>
          <w:lang w:val="pt-BR"/>
        </w:rPr>
        <w:t>International</w:t>
      </w:r>
      <w:proofErr w:type="spellEnd"/>
      <w:r w:rsidR="005B18EE">
        <w:rPr>
          <w:szCs w:val="22"/>
          <w:lang w:val="pt-BR"/>
        </w:rPr>
        <w:t xml:space="preserve"> </w:t>
      </w:r>
      <w:proofErr w:type="spellStart"/>
      <w:r w:rsidR="005B18EE">
        <w:rPr>
          <w:szCs w:val="22"/>
          <w:lang w:val="pt-BR"/>
        </w:rPr>
        <w:t>Settlements</w:t>
      </w:r>
      <w:proofErr w:type="spellEnd"/>
    </w:p>
    <w:p w14:paraId="21FF8585" w14:textId="77777777" w:rsidR="0064183C" w:rsidRDefault="0064183C" w:rsidP="00E76C2C">
      <w:pPr>
        <w:pStyle w:val="LARESKeywords"/>
        <w:jc w:val="both"/>
        <w:rPr>
          <w:szCs w:val="22"/>
          <w:lang w:val="pt-BR"/>
        </w:rPr>
      </w:pPr>
    </w:p>
    <w:p w14:paraId="1AA3AB9A" w14:textId="77777777" w:rsidR="0064183C" w:rsidRDefault="0064183C" w:rsidP="0064183C">
      <w:pPr>
        <w:pStyle w:val="Default"/>
      </w:pPr>
    </w:p>
    <w:p w14:paraId="13FAEE5E" w14:textId="77777777" w:rsidR="0064183C" w:rsidRDefault="0064183C" w:rsidP="0064183C">
      <w:pPr>
        <w:pStyle w:val="Default"/>
      </w:pPr>
      <w:r>
        <w:t xml:space="preserve"> </w:t>
      </w:r>
    </w:p>
    <w:p w14:paraId="285FB5F1" w14:textId="10F7BBD8" w:rsidR="0034139D" w:rsidRDefault="0064183C" w:rsidP="001E6F74">
      <w:pPr>
        <w:pStyle w:val="Default"/>
      </w:pPr>
      <w:r>
        <w:rPr>
          <w:sz w:val="22"/>
          <w:szCs w:val="22"/>
        </w:rPr>
        <w:t>As opiniões expressas neste trabalho</w:t>
      </w:r>
      <w:r w:rsidR="00F16F89">
        <w:rPr>
          <w:sz w:val="22"/>
          <w:szCs w:val="22"/>
        </w:rPr>
        <w:t xml:space="preserve"> são exclusivamente do autor</w:t>
      </w:r>
      <w:r>
        <w:rPr>
          <w:sz w:val="22"/>
          <w:szCs w:val="22"/>
        </w:rPr>
        <w:t xml:space="preserve"> e não refletem, necessariamente, a vis</w:t>
      </w:r>
      <w:r w:rsidR="0011068A">
        <w:rPr>
          <w:sz w:val="22"/>
          <w:szCs w:val="22"/>
        </w:rPr>
        <w:t>ão do Banco Central do Brasil.</w:t>
      </w:r>
    </w:p>
    <w:p w14:paraId="7AD3B949" w14:textId="21EC96D3" w:rsidR="0034139D" w:rsidRPr="00DD7944" w:rsidRDefault="0034139D" w:rsidP="0034139D">
      <w:pPr>
        <w:pStyle w:val="LARESTitle"/>
        <w:rPr>
          <w:color w:val="3366FF"/>
          <w:sz w:val="22"/>
          <w:szCs w:val="22"/>
          <w:lang w:val="en-US"/>
        </w:rPr>
      </w:pPr>
      <w:r w:rsidRPr="00FD3C43">
        <w:rPr>
          <w:lang w:val="en-US"/>
        </w:rPr>
        <w:br w:type="page"/>
      </w:r>
      <w:r w:rsidR="003A225B" w:rsidRPr="00DD7944">
        <w:rPr>
          <w:rFonts w:eastAsia="Times New Roman" w:cs="Arial"/>
          <w:color w:val="222222"/>
          <w:szCs w:val="24"/>
          <w:lang w:val="en-US" w:eastAsia="pt-BR"/>
        </w:rPr>
        <w:lastRenderedPageBreak/>
        <w:t>Real Estate falling prices in Brazil, price indices, and the BIS Working Papers: a perspective for economic and monetary policies</w:t>
      </w:r>
    </w:p>
    <w:p w14:paraId="27782473" w14:textId="0200B799" w:rsidR="0034139D" w:rsidRPr="00A9222C" w:rsidRDefault="0034139D" w:rsidP="0034139D">
      <w:pPr>
        <w:pStyle w:val="LARESAbstractHeading"/>
        <w:rPr>
          <w:caps w:val="0"/>
          <w:lang w:val="en-US"/>
        </w:rPr>
      </w:pPr>
      <w:r w:rsidRPr="00A9222C">
        <w:rPr>
          <w:lang w:val="en-US"/>
        </w:rPr>
        <w:t>abstract</w:t>
      </w:r>
    </w:p>
    <w:p w14:paraId="3A209FE9" w14:textId="50F0DA3F" w:rsidR="00275BE3" w:rsidRPr="00275BE3" w:rsidRDefault="00275BE3" w:rsidP="00275BE3">
      <w:pPr>
        <w:rPr>
          <w:sz w:val="22"/>
          <w:lang w:val="en-US"/>
        </w:rPr>
      </w:pPr>
      <w:r w:rsidRPr="00275BE3">
        <w:rPr>
          <w:sz w:val="22"/>
          <w:lang w:val="en-US"/>
        </w:rPr>
        <w:t xml:space="preserve">The real estate sector has been gaining relevance in the Brazilian economic and financial scenario. This importance has grown as home financing has increased its participation in the balance sheet of financial institutions. The permanent monitoring of these assets is a crucial process, as it is for all other financial assets, as the soundness of these institutions depends on the valuation of those assets. The growing importance of real estate assets, particularly residential real estate, adds a new dimension to the economic cycle, introducing an additional possibility for the generation of crisis: declining home values, and its impact on the financial system. The universally adopted method to monitor the valuation </w:t>
      </w:r>
      <w:r w:rsidR="001E6F74">
        <w:rPr>
          <w:sz w:val="22"/>
          <w:lang w:val="en-US"/>
        </w:rPr>
        <w:t xml:space="preserve">of </w:t>
      </w:r>
      <w:r w:rsidRPr="00275BE3">
        <w:rPr>
          <w:sz w:val="22"/>
          <w:lang w:val="en-US"/>
        </w:rPr>
        <w:t xml:space="preserve">these assets are the price indices of residential property, although the ways to do it are as varied as there are indices in the world. The construction of a real estate price index is much more difficult than a consumer price index, as prices only materialize when buying and selling a property, an infrequent event, aggravated by the uniqueness of each property transacted. </w:t>
      </w:r>
      <w:r w:rsidR="006C78DC">
        <w:rPr>
          <w:sz w:val="22"/>
          <w:lang w:val="en-US"/>
        </w:rPr>
        <w:t xml:space="preserve">In addition </w:t>
      </w:r>
      <w:r w:rsidR="003637AF">
        <w:rPr>
          <w:sz w:val="22"/>
          <w:lang w:val="en-US"/>
        </w:rPr>
        <w:t>t</w:t>
      </w:r>
      <w:r w:rsidRPr="00275BE3">
        <w:rPr>
          <w:sz w:val="22"/>
          <w:lang w:val="en-US"/>
        </w:rPr>
        <w:t xml:space="preserve">o this widely recognized difficulty, the interpretation of </w:t>
      </w:r>
      <w:r w:rsidR="003637AF">
        <w:rPr>
          <w:sz w:val="22"/>
          <w:lang w:val="en-US"/>
        </w:rPr>
        <w:t xml:space="preserve">the results of </w:t>
      </w:r>
      <w:r w:rsidR="009770D2">
        <w:rPr>
          <w:sz w:val="22"/>
          <w:lang w:val="en-US"/>
        </w:rPr>
        <w:t>those indices</w:t>
      </w:r>
      <w:r w:rsidR="003637AF">
        <w:rPr>
          <w:sz w:val="22"/>
          <w:lang w:val="en-US"/>
        </w:rPr>
        <w:t xml:space="preserve">, as well as the drawing of </w:t>
      </w:r>
      <w:r w:rsidR="009770D2">
        <w:rPr>
          <w:sz w:val="22"/>
          <w:lang w:val="en-US"/>
        </w:rPr>
        <w:t xml:space="preserve">adequate </w:t>
      </w:r>
      <w:r w:rsidR="00741F43">
        <w:rPr>
          <w:sz w:val="22"/>
          <w:lang w:val="en-US"/>
        </w:rPr>
        <w:t xml:space="preserve">responses in the form of </w:t>
      </w:r>
      <w:r w:rsidR="009770D2">
        <w:rPr>
          <w:sz w:val="22"/>
          <w:lang w:val="en-US"/>
        </w:rPr>
        <w:t xml:space="preserve">economic and monetary policies, </w:t>
      </w:r>
      <w:proofErr w:type="gramStart"/>
      <w:r w:rsidR="009770D2">
        <w:rPr>
          <w:sz w:val="22"/>
          <w:lang w:val="en-US"/>
        </w:rPr>
        <w:t xml:space="preserve">are </w:t>
      </w:r>
      <w:r w:rsidR="00741F43">
        <w:rPr>
          <w:sz w:val="22"/>
          <w:lang w:val="en-US"/>
        </w:rPr>
        <w:t>no simple matter</w:t>
      </w:r>
      <w:proofErr w:type="gramEnd"/>
      <w:r w:rsidR="00741F43">
        <w:rPr>
          <w:sz w:val="22"/>
          <w:lang w:val="en-US"/>
        </w:rPr>
        <w:t>.</w:t>
      </w:r>
      <w:r w:rsidR="009770D2">
        <w:rPr>
          <w:sz w:val="22"/>
          <w:lang w:val="en-US"/>
        </w:rPr>
        <w:t xml:space="preserve"> </w:t>
      </w:r>
      <w:r w:rsidRPr="00275BE3">
        <w:rPr>
          <w:sz w:val="22"/>
          <w:lang w:val="en-US"/>
        </w:rPr>
        <w:t xml:space="preserve"> The BIS-Bank for International Settlements, in association with the IMF, held a conference in 2003 to investigate the construction and use of such indices, with a special attention for the difficulties in their interpretation and the formulation of corresponding economic and monetary policies. So much so, that even with all the focus and labor reflected in the papers presented in 2003, virtually nothing came about as measures against the crisis of 2008, which was originated by the exacerbation of the real estate cycle in the mature economies. The time series of two Brazilian indices series are compared and hypothesis are drawn in order to understand the discrepancies arising </w:t>
      </w:r>
      <w:r w:rsidR="003A336B">
        <w:rPr>
          <w:sz w:val="22"/>
          <w:lang w:val="en-US"/>
        </w:rPr>
        <w:t xml:space="preserve">from </w:t>
      </w:r>
      <w:r w:rsidRPr="00275BE3">
        <w:rPr>
          <w:sz w:val="22"/>
          <w:lang w:val="en-US"/>
        </w:rPr>
        <w:t>that comparison, based on the material prepared by BIS / IMF.</w:t>
      </w:r>
    </w:p>
    <w:p w14:paraId="766377BA" w14:textId="77777777" w:rsidR="0034139D" w:rsidRPr="00E0669E" w:rsidRDefault="0034139D" w:rsidP="0034139D">
      <w:pPr>
        <w:pStyle w:val="LARESAbstracttext"/>
        <w:rPr>
          <w:szCs w:val="22"/>
          <w:lang w:val="en-US"/>
        </w:rPr>
      </w:pPr>
    </w:p>
    <w:p w14:paraId="7FB49257" w14:textId="3A8A9018" w:rsidR="00C34630" w:rsidRPr="00C34630" w:rsidRDefault="00C34630" w:rsidP="00C34630">
      <w:pPr>
        <w:pStyle w:val="LARESKeywords"/>
        <w:jc w:val="both"/>
        <w:rPr>
          <w:szCs w:val="22"/>
          <w:lang w:val="en-US"/>
        </w:rPr>
      </w:pPr>
      <w:r w:rsidRPr="003B58C9">
        <w:rPr>
          <w:b/>
          <w:bCs/>
          <w:szCs w:val="24"/>
          <w:lang w:val="en-US"/>
        </w:rPr>
        <w:t>Keywords</w:t>
      </w:r>
      <w:r>
        <w:rPr>
          <w:bCs/>
          <w:szCs w:val="24"/>
          <w:lang w:val="en-US"/>
        </w:rPr>
        <w:t xml:space="preserve">: </w:t>
      </w:r>
      <w:r w:rsidR="00E76C2C" w:rsidRPr="00C34630">
        <w:rPr>
          <w:bCs/>
          <w:szCs w:val="24"/>
          <w:lang w:val="en-US"/>
        </w:rPr>
        <w:t>Housing price index,</w:t>
      </w:r>
      <w:r w:rsidR="00E76C2C" w:rsidRPr="00C34630">
        <w:rPr>
          <w:szCs w:val="22"/>
          <w:lang w:val="en-US"/>
        </w:rPr>
        <w:t xml:space="preserve"> monetary policy, IVG-R, Fipe-Zap, </w:t>
      </w:r>
      <w:r w:rsidR="003B58C9">
        <w:rPr>
          <w:szCs w:val="22"/>
          <w:lang w:val="en-US"/>
        </w:rPr>
        <w:t>BIS-</w:t>
      </w:r>
      <w:r w:rsidRPr="00C34630">
        <w:rPr>
          <w:szCs w:val="22"/>
          <w:lang w:val="en-US"/>
        </w:rPr>
        <w:t>Bank for International Settlements</w:t>
      </w:r>
    </w:p>
    <w:p w14:paraId="7E82DA78" w14:textId="579EE8F6" w:rsidR="00271173" w:rsidRDefault="00271173">
      <w:pPr>
        <w:rPr>
          <w:rFonts w:eastAsia="Times New Roman" w:cs="Times New Roman"/>
          <w:szCs w:val="20"/>
          <w:lang w:val="en-US"/>
        </w:rPr>
      </w:pPr>
    </w:p>
    <w:p w14:paraId="66788A24" w14:textId="77777777" w:rsidR="000562DB" w:rsidRDefault="000562DB" w:rsidP="00B82F62">
      <w:pPr>
        <w:rPr>
          <w:b/>
          <w:szCs w:val="24"/>
          <w:u w:val="single"/>
          <w:lang w:val="en-US"/>
        </w:rPr>
      </w:pPr>
    </w:p>
    <w:p w14:paraId="4ECC55AF" w14:textId="77777777" w:rsidR="00B82F62" w:rsidRDefault="00B82F62" w:rsidP="00B82F62">
      <w:pPr>
        <w:rPr>
          <w:b/>
          <w:szCs w:val="24"/>
          <w:u w:val="single"/>
          <w:lang w:val="en-US"/>
        </w:rPr>
      </w:pPr>
    </w:p>
    <w:p w14:paraId="28412594" w14:textId="77777777" w:rsidR="00B82F62" w:rsidRDefault="00B82F62" w:rsidP="00B82F62">
      <w:pPr>
        <w:rPr>
          <w:b/>
          <w:szCs w:val="24"/>
          <w:u w:val="single"/>
          <w:lang w:val="en-US"/>
        </w:rPr>
      </w:pPr>
    </w:p>
    <w:p w14:paraId="6DE9B498" w14:textId="77777777" w:rsidR="00B82F62" w:rsidRDefault="00B82F62" w:rsidP="00B82F62">
      <w:pPr>
        <w:rPr>
          <w:b/>
          <w:szCs w:val="24"/>
          <w:u w:val="single"/>
          <w:lang w:val="en-US"/>
        </w:rPr>
      </w:pPr>
    </w:p>
    <w:p w14:paraId="793FA534" w14:textId="77777777" w:rsidR="00B82F62" w:rsidRDefault="00B82F62" w:rsidP="00B82F62">
      <w:pPr>
        <w:rPr>
          <w:b/>
          <w:szCs w:val="24"/>
          <w:u w:val="single"/>
          <w:lang w:val="en-US"/>
        </w:rPr>
      </w:pPr>
    </w:p>
    <w:p w14:paraId="19B1B128" w14:textId="77777777" w:rsidR="00B82F62" w:rsidRDefault="00B82F62" w:rsidP="00B82F62">
      <w:pPr>
        <w:rPr>
          <w:b/>
          <w:szCs w:val="24"/>
          <w:u w:val="single"/>
          <w:lang w:val="en-US"/>
        </w:rPr>
      </w:pPr>
    </w:p>
    <w:p w14:paraId="50E60959" w14:textId="77777777" w:rsidR="00B82F62" w:rsidRDefault="00B82F62" w:rsidP="00B82F62">
      <w:pPr>
        <w:rPr>
          <w:b/>
          <w:szCs w:val="24"/>
          <w:u w:val="single"/>
          <w:lang w:val="en-US"/>
        </w:rPr>
      </w:pPr>
    </w:p>
    <w:p w14:paraId="24016F8E" w14:textId="77777777" w:rsidR="00B82F62" w:rsidRDefault="00B82F62" w:rsidP="00B82F62">
      <w:pPr>
        <w:rPr>
          <w:b/>
          <w:szCs w:val="24"/>
          <w:u w:val="single"/>
          <w:lang w:val="en-US"/>
        </w:rPr>
      </w:pPr>
    </w:p>
    <w:p w14:paraId="6621545B" w14:textId="77777777" w:rsidR="00B82F62" w:rsidRDefault="00B82F62" w:rsidP="00B82F62">
      <w:pPr>
        <w:rPr>
          <w:b/>
          <w:szCs w:val="24"/>
          <w:u w:val="single"/>
          <w:lang w:val="en-US"/>
        </w:rPr>
      </w:pPr>
    </w:p>
    <w:p w14:paraId="27AE029F" w14:textId="77777777" w:rsidR="00B82F62" w:rsidRDefault="00B82F62" w:rsidP="00B82F62">
      <w:pPr>
        <w:rPr>
          <w:b/>
          <w:szCs w:val="24"/>
          <w:u w:val="single"/>
          <w:lang w:val="en-US"/>
        </w:rPr>
      </w:pPr>
    </w:p>
    <w:p w14:paraId="0AEE408C" w14:textId="77777777" w:rsidR="00B82F62" w:rsidRDefault="00B82F62" w:rsidP="00B82F62">
      <w:pPr>
        <w:rPr>
          <w:b/>
          <w:szCs w:val="24"/>
          <w:u w:val="single"/>
          <w:lang w:val="en-US"/>
        </w:rPr>
      </w:pPr>
    </w:p>
    <w:p w14:paraId="640A4F5B" w14:textId="77777777" w:rsidR="00B82F62" w:rsidRDefault="00B82F62" w:rsidP="00B82F62">
      <w:pPr>
        <w:rPr>
          <w:b/>
          <w:szCs w:val="24"/>
          <w:u w:val="single"/>
          <w:lang w:val="en-US"/>
        </w:rPr>
      </w:pPr>
    </w:p>
    <w:p w14:paraId="588220A2" w14:textId="77777777" w:rsidR="00B82F62" w:rsidRPr="00B82F62" w:rsidRDefault="00B82F62" w:rsidP="00B82F62">
      <w:pPr>
        <w:pStyle w:val="Pr-formataoHTML"/>
        <w:rPr>
          <w:rFonts w:ascii="Times New Roman" w:eastAsiaTheme="minorHAnsi" w:hAnsi="Times New Roman" w:cstheme="minorBidi"/>
          <w:sz w:val="22"/>
          <w:szCs w:val="22"/>
          <w:lang w:val="en-US" w:eastAsia="en-US"/>
        </w:rPr>
      </w:pPr>
      <w:r w:rsidRPr="00B82F62">
        <w:rPr>
          <w:rFonts w:ascii="Times New Roman" w:eastAsiaTheme="minorHAnsi" w:hAnsi="Times New Roman" w:cstheme="minorBidi"/>
          <w:sz w:val="22"/>
          <w:szCs w:val="22"/>
          <w:lang w:val="en-US" w:eastAsia="en-US"/>
        </w:rPr>
        <w:t>The opinions expressed in this paper are those of the author and do not necessarily reflect the view of the Central Bank of Brazil.</w:t>
      </w:r>
    </w:p>
    <w:p w14:paraId="0D66E059" w14:textId="77777777" w:rsidR="00B82F62" w:rsidRPr="00B82F62" w:rsidRDefault="00B82F62" w:rsidP="00B82F62">
      <w:pPr>
        <w:rPr>
          <w:sz w:val="22"/>
          <w:lang w:val="en-US"/>
        </w:rPr>
        <w:sectPr w:rsidR="00B82F62" w:rsidRPr="00B82F62" w:rsidSect="00A103A2">
          <w:headerReference w:type="default" r:id="rId10"/>
          <w:headerReference w:type="first" r:id="rId11"/>
          <w:pgSz w:w="11906" w:h="16838"/>
          <w:pgMar w:top="1304" w:right="1474" w:bottom="1304" w:left="1474" w:header="709" w:footer="709" w:gutter="0"/>
          <w:pgNumType w:start="1"/>
          <w:cols w:space="708"/>
          <w:titlePg/>
          <w:docGrid w:linePitch="360"/>
        </w:sectPr>
      </w:pPr>
    </w:p>
    <w:p w14:paraId="4B9CF42A" w14:textId="26C0A2EC" w:rsidR="00102527" w:rsidRPr="00850D9B" w:rsidRDefault="00290315" w:rsidP="002A225D">
      <w:pPr>
        <w:pStyle w:val="PargrafodaLista"/>
        <w:numPr>
          <w:ilvl w:val="0"/>
          <w:numId w:val="4"/>
        </w:numPr>
        <w:ind w:left="0" w:hanging="11"/>
        <w:outlineLvl w:val="0"/>
        <w:rPr>
          <w:b/>
          <w:szCs w:val="24"/>
        </w:rPr>
      </w:pPr>
      <w:bookmarkStart w:id="0" w:name="_Toc424741946"/>
      <w:r w:rsidRPr="00850D9B">
        <w:rPr>
          <w:b/>
          <w:szCs w:val="24"/>
        </w:rPr>
        <w:lastRenderedPageBreak/>
        <w:t>INTRODUÇÃO - SOBRE A IMPORTÂNCIA DOS ÍNDICES DE PREÇOS DE IMÓVEIS.</w:t>
      </w:r>
      <w:bookmarkEnd w:id="0"/>
    </w:p>
    <w:p w14:paraId="130AD3F2" w14:textId="77777777" w:rsidR="00990DBB" w:rsidRPr="00FA7940" w:rsidRDefault="00990DBB" w:rsidP="00CD0FEF">
      <w:pPr>
        <w:rPr>
          <w:szCs w:val="24"/>
          <w:u w:val="single"/>
        </w:rPr>
      </w:pPr>
    </w:p>
    <w:p w14:paraId="3A2C8711" w14:textId="18514B91" w:rsidR="008230E3" w:rsidRDefault="008230E3" w:rsidP="00CD0FEF">
      <w:pPr>
        <w:ind w:firstLine="708"/>
        <w:rPr>
          <w:szCs w:val="24"/>
        </w:rPr>
      </w:pPr>
      <w:r>
        <w:rPr>
          <w:szCs w:val="24"/>
        </w:rPr>
        <w:t>Para entender a questão</w:t>
      </w:r>
      <w:r w:rsidR="000C0F68">
        <w:rPr>
          <w:szCs w:val="24"/>
        </w:rPr>
        <w:t xml:space="preserve"> e a relevância dos </w:t>
      </w:r>
      <w:r w:rsidR="001E2D5F">
        <w:rPr>
          <w:szCs w:val="24"/>
        </w:rPr>
        <w:t>Í</w:t>
      </w:r>
      <w:r w:rsidR="000C0F68">
        <w:rPr>
          <w:szCs w:val="24"/>
        </w:rPr>
        <w:t xml:space="preserve">ndices de </w:t>
      </w:r>
      <w:r w:rsidR="001E2D5F">
        <w:rPr>
          <w:szCs w:val="24"/>
        </w:rPr>
        <w:t>P</w:t>
      </w:r>
      <w:r>
        <w:rPr>
          <w:szCs w:val="24"/>
        </w:rPr>
        <w:t xml:space="preserve">reços dos </w:t>
      </w:r>
      <w:r w:rsidR="001E2D5F">
        <w:rPr>
          <w:szCs w:val="24"/>
        </w:rPr>
        <w:t>I</w:t>
      </w:r>
      <w:r>
        <w:rPr>
          <w:szCs w:val="24"/>
        </w:rPr>
        <w:t>móveis e seu comportamento recente, é preciso reconhecer as mudanças pelas quais a economia brasileira passou nos últimos anos.</w:t>
      </w:r>
    </w:p>
    <w:p w14:paraId="59466B52" w14:textId="35BCDD2B" w:rsidR="008230E3" w:rsidRPr="00FA7940" w:rsidRDefault="008230E3" w:rsidP="00CD0FEF">
      <w:pPr>
        <w:ind w:firstLine="708"/>
        <w:rPr>
          <w:szCs w:val="24"/>
        </w:rPr>
      </w:pPr>
      <w:r>
        <w:rPr>
          <w:szCs w:val="24"/>
        </w:rPr>
        <w:t>Em primeiro lugar</w:t>
      </w:r>
      <w:r w:rsidR="00B5220B">
        <w:rPr>
          <w:szCs w:val="24"/>
        </w:rPr>
        <w:t>,</w:t>
      </w:r>
      <w:r>
        <w:rPr>
          <w:szCs w:val="24"/>
        </w:rPr>
        <w:t xml:space="preserve"> o</w:t>
      </w:r>
      <w:r w:rsidRPr="00FA7940">
        <w:rPr>
          <w:szCs w:val="24"/>
        </w:rPr>
        <w:t xml:space="preserve"> Sistema Financeiro Nacional está entrando em uma nova fase, </w:t>
      </w:r>
      <w:r>
        <w:rPr>
          <w:szCs w:val="24"/>
        </w:rPr>
        <w:t xml:space="preserve">e usando uma relação numérica, </w:t>
      </w:r>
      <w:r w:rsidRPr="00FA7940">
        <w:rPr>
          <w:szCs w:val="24"/>
        </w:rPr>
        <w:t xml:space="preserve">ele sai de uma situação 20/20, e está migrando para uma situação 200/200. Isto significa que o crédito típico fornecido pelos bancos que era de R$20 mil </w:t>
      </w:r>
      <w:r>
        <w:rPr>
          <w:szCs w:val="24"/>
        </w:rPr>
        <w:t>com</w:t>
      </w:r>
      <w:r w:rsidRPr="00FA7940">
        <w:rPr>
          <w:szCs w:val="24"/>
        </w:rPr>
        <w:t xml:space="preserve"> um prazo de 20 meses para sua quitação (</w:t>
      </w:r>
      <w:r>
        <w:rPr>
          <w:szCs w:val="24"/>
        </w:rPr>
        <w:t xml:space="preserve">um financiamento de </w:t>
      </w:r>
      <w:r w:rsidRPr="00FA7940">
        <w:rPr>
          <w:szCs w:val="24"/>
        </w:rPr>
        <w:t>automóvel), está migrando para</w:t>
      </w:r>
      <w:r>
        <w:rPr>
          <w:szCs w:val="24"/>
        </w:rPr>
        <w:t xml:space="preserve"> uma situação onde o crédito típico agora e 200/200, ou seja</w:t>
      </w:r>
      <w:r w:rsidR="00B5220B">
        <w:rPr>
          <w:szCs w:val="24"/>
        </w:rPr>
        <w:t>,</w:t>
      </w:r>
      <w:r w:rsidRPr="00FA7940">
        <w:rPr>
          <w:szCs w:val="24"/>
        </w:rPr>
        <w:t xml:space="preserve"> um </w:t>
      </w:r>
      <w:r>
        <w:rPr>
          <w:szCs w:val="24"/>
        </w:rPr>
        <w:t xml:space="preserve">financiamento de </w:t>
      </w:r>
      <w:r w:rsidRPr="00FA7940">
        <w:rPr>
          <w:szCs w:val="24"/>
        </w:rPr>
        <w:t xml:space="preserve">R$200 mil </w:t>
      </w:r>
      <w:r>
        <w:rPr>
          <w:szCs w:val="24"/>
        </w:rPr>
        <w:t xml:space="preserve">com </w:t>
      </w:r>
      <w:r w:rsidRPr="00FA7940">
        <w:rPr>
          <w:szCs w:val="24"/>
        </w:rPr>
        <w:t>um prazo de 200 meses para ser saldado (</w:t>
      </w:r>
      <w:r>
        <w:rPr>
          <w:szCs w:val="24"/>
        </w:rPr>
        <w:t>um financiamento imobiliário</w:t>
      </w:r>
      <w:r w:rsidRPr="00FA7940">
        <w:rPr>
          <w:szCs w:val="24"/>
        </w:rPr>
        <w:t>). O impacto de uma mudança desse tipo</w:t>
      </w:r>
      <w:r>
        <w:rPr>
          <w:szCs w:val="24"/>
        </w:rPr>
        <w:t xml:space="preserve"> no sistema financeiro</w:t>
      </w:r>
      <w:r w:rsidRPr="00FA7940">
        <w:rPr>
          <w:szCs w:val="24"/>
        </w:rPr>
        <w:t xml:space="preserve"> é enorme, dado que</w:t>
      </w:r>
      <w:r>
        <w:rPr>
          <w:szCs w:val="24"/>
        </w:rPr>
        <w:t xml:space="preserve"> em ocorrendo a inadimplência dos mutuários,</w:t>
      </w:r>
      <w:r w:rsidRPr="00FA7940">
        <w:rPr>
          <w:szCs w:val="24"/>
        </w:rPr>
        <w:t xml:space="preserve"> </w:t>
      </w:r>
      <w:r>
        <w:rPr>
          <w:szCs w:val="24"/>
        </w:rPr>
        <w:t>a solução do problema toma muito mais tempo e muito mais capital</w:t>
      </w:r>
      <w:r w:rsidRPr="00FA7940">
        <w:rPr>
          <w:szCs w:val="24"/>
        </w:rPr>
        <w:t xml:space="preserve"> dos bancos que porventura enfrentem essa inadimplência. </w:t>
      </w:r>
      <w:r>
        <w:rPr>
          <w:szCs w:val="24"/>
        </w:rPr>
        <w:t>Para os bancos</w:t>
      </w:r>
      <w:r w:rsidR="00BF3B86">
        <w:rPr>
          <w:szCs w:val="24"/>
        </w:rPr>
        <w:t>,</w:t>
      </w:r>
      <w:r>
        <w:rPr>
          <w:szCs w:val="24"/>
        </w:rPr>
        <w:t xml:space="preserve"> o</w:t>
      </w:r>
      <w:r w:rsidRPr="00FA7940">
        <w:rPr>
          <w:szCs w:val="24"/>
        </w:rPr>
        <w:t xml:space="preserve">s requisitos de capital, de </w:t>
      </w:r>
      <w:r>
        <w:rPr>
          <w:szCs w:val="24"/>
        </w:rPr>
        <w:t xml:space="preserve">análise de </w:t>
      </w:r>
      <w:r w:rsidRPr="00FA7940">
        <w:rPr>
          <w:szCs w:val="24"/>
        </w:rPr>
        <w:t xml:space="preserve">crédito, e de </w:t>
      </w:r>
      <w:r>
        <w:rPr>
          <w:szCs w:val="24"/>
        </w:rPr>
        <w:t xml:space="preserve">monitoramento </w:t>
      </w:r>
      <w:r w:rsidRPr="00FA7940">
        <w:rPr>
          <w:szCs w:val="24"/>
        </w:rPr>
        <w:t>sobre as garantias oferecidas para honrar os financiamentos</w:t>
      </w:r>
      <w:r>
        <w:rPr>
          <w:szCs w:val="24"/>
        </w:rPr>
        <w:t>,</w:t>
      </w:r>
      <w:r w:rsidRPr="00FA7940">
        <w:rPr>
          <w:szCs w:val="24"/>
        </w:rPr>
        <w:t xml:space="preserve"> são muito maiores, </w:t>
      </w:r>
      <w:r>
        <w:rPr>
          <w:szCs w:val="24"/>
        </w:rPr>
        <w:t xml:space="preserve">os riscos para os </w:t>
      </w:r>
      <w:r w:rsidRPr="00FA7940">
        <w:rPr>
          <w:szCs w:val="24"/>
        </w:rPr>
        <w:t xml:space="preserve">bancos </w:t>
      </w:r>
      <w:r w:rsidR="00FB7324">
        <w:rPr>
          <w:szCs w:val="24"/>
        </w:rPr>
        <w:t>são</w:t>
      </w:r>
      <w:r w:rsidRPr="00FA7940">
        <w:rPr>
          <w:szCs w:val="24"/>
        </w:rPr>
        <w:t xml:space="preserve"> muito maior</w:t>
      </w:r>
      <w:r w:rsidR="00FB7324">
        <w:rPr>
          <w:szCs w:val="24"/>
        </w:rPr>
        <w:t>es</w:t>
      </w:r>
      <w:r w:rsidRPr="00FA7940">
        <w:rPr>
          <w:szCs w:val="24"/>
        </w:rPr>
        <w:t>, e as soluções para uma crise bancária são muito mais complexas e custosas.</w:t>
      </w:r>
      <w:r>
        <w:rPr>
          <w:szCs w:val="24"/>
        </w:rPr>
        <w:t xml:space="preserve"> O problema é igualmente complexo para as autoridades monetárias. </w:t>
      </w:r>
    </w:p>
    <w:p w14:paraId="05D7F63E" w14:textId="554BEE6F" w:rsidR="007E00D1" w:rsidRDefault="007E00D1" w:rsidP="00FD3C43">
      <w:pPr>
        <w:ind w:firstLine="708"/>
        <w:rPr>
          <w:szCs w:val="24"/>
        </w:rPr>
      </w:pPr>
      <w:r>
        <w:t>Em segundo lugar, e examinando a questão por outro ângulo</w:t>
      </w:r>
      <w:r w:rsidR="00324318">
        <w:t>, podemos dizer que</w:t>
      </w:r>
      <w:r w:rsidRPr="00FA7940">
        <w:rPr>
          <w:szCs w:val="24"/>
        </w:rPr>
        <w:t xml:space="preserve"> até hoje as crises econômicas no Brasil foram geradas basicamente por problemas cambiais ou por problemas das finanças públicas</w:t>
      </w:r>
      <w:r>
        <w:rPr>
          <w:szCs w:val="24"/>
        </w:rPr>
        <w:t>. Isto permaneceu assim mesmo após o advento do Real, em 1994.</w:t>
      </w:r>
      <w:r w:rsidRPr="00FA7940">
        <w:rPr>
          <w:szCs w:val="24"/>
        </w:rPr>
        <w:t xml:space="preserve"> Isto significa que as crises econômicas derivadas dos ciclos de valorização e desvalorização dos imóveis, que eram </w:t>
      </w:r>
      <w:r>
        <w:rPr>
          <w:szCs w:val="24"/>
        </w:rPr>
        <w:t>um</w:t>
      </w:r>
      <w:r w:rsidRPr="00FA7940">
        <w:rPr>
          <w:szCs w:val="24"/>
        </w:rPr>
        <w:t xml:space="preserve"> discutível privilégio dos países ricos, passam a ser uma possiblidade adicional </w:t>
      </w:r>
      <w:r>
        <w:rPr>
          <w:szCs w:val="24"/>
        </w:rPr>
        <w:t xml:space="preserve">para </w:t>
      </w:r>
      <w:r w:rsidRPr="00FA7940">
        <w:rPr>
          <w:szCs w:val="24"/>
        </w:rPr>
        <w:t xml:space="preserve">geração de crises </w:t>
      </w:r>
      <w:r w:rsidR="00B8222C">
        <w:rPr>
          <w:szCs w:val="24"/>
        </w:rPr>
        <w:t xml:space="preserve">que se abre para </w:t>
      </w:r>
      <w:r w:rsidRPr="00FA7940">
        <w:rPr>
          <w:szCs w:val="24"/>
        </w:rPr>
        <w:t xml:space="preserve">o Brasil. Ao ver crescer o volume dos créditos imobiliários de um nível muito baixo na primeira metade da primeira década dos anos 2000, para algo próximo dos 10% em 2015, uma desvalorização dos imóveis, que, aparentemente é um fenômeno vivido pelo país, principia a ter os contornos de uma situação que tem poder de </w:t>
      </w:r>
      <w:r>
        <w:rPr>
          <w:szCs w:val="24"/>
        </w:rPr>
        <w:t xml:space="preserve">afetar a economia e </w:t>
      </w:r>
      <w:r w:rsidRPr="00FA7940">
        <w:rPr>
          <w:szCs w:val="24"/>
        </w:rPr>
        <w:t xml:space="preserve">desestabilizar o sistema financeiro, </w:t>
      </w:r>
      <w:r>
        <w:rPr>
          <w:szCs w:val="24"/>
        </w:rPr>
        <w:t xml:space="preserve">o qual, </w:t>
      </w:r>
      <w:r w:rsidRPr="00FA7940">
        <w:rPr>
          <w:szCs w:val="24"/>
        </w:rPr>
        <w:t>além de seu poder de multiplicar o dinheiro, tem também o grave defeito de poder multiplicar os problemas econômicos e financeiros do país. Isto ainda não é, no atual momento, uma realidade concreta, por uma série de razões, mas a continuarmos a financiar um volume crescente de imóveis aos assalariados do país, o Brasil poderá enfrentar a realidade concreta de, compartilhando aquele discutível privilégio com os países ricos, viver uma crise econômica onde a desvalorização dos imóveis poderá se torna</w:t>
      </w:r>
      <w:r>
        <w:rPr>
          <w:szCs w:val="24"/>
        </w:rPr>
        <w:t>r</w:t>
      </w:r>
      <w:r w:rsidRPr="00FA7940">
        <w:rPr>
          <w:szCs w:val="24"/>
        </w:rPr>
        <w:t xml:space="preserve"> o epicentro d</w:t>
      </w:r>
      <w:r>
        <w:rPr>
          <w:szCs w:val="24"/>
        </w:rPr>
        <w:t xml:space="preserve">e uma </w:t>
      </w:r>
      <w:r w:rsidRPr="00FA7940">
        <w:rPr>
          <w:szCs w:val="24"/>
        </w:rPr>
        <w:t>crise econômica, agora por uma nova razão.</w:t>
      </w:r>
    </w:p>
    <w:p w14:paraId="12AFFCD5" w14:textId="35D9D664" w:rsidR="00287D4D" w:rsidRDefault="00774343" w:rsidP="00CD0FEF">
      <w:pPr>
        <w:rPr>
          <w:szCs w:val="24"/>
        </w:rPr>
      </w:pPr>
      <w:r w:rsidRPr="00EA1D12">
        <w:rPr>
          <w:szCs w:val="24"/>
        </w:rPr>
        <w:tab/>
      </w:r>
      <w:r w:rsidR="00287D4D" w:rsidRPr="00EA1D12">
        <w:rPr>
          <w:szCs w:val="24"/>
        </w:rPr>
        <w:t>Isto posto, a ques</w:t>
      </w:r>
      <w:r w:rsidR="00287D4D" w:rsidRPr="00233321">
        <w:rPr>
          <w:szCs w:val="24"/>
        </w:rPr>
        <w:t>tão do</w:t>
      </w:r>
      <w:r w:rsidR="00287D4D">
        <w:rPr>
          <w:szCs w:val="24"/>
        </w:rPr>
        <w:t xml:space="preserve"> preço dos imóveis, que agora tem uma participação crescente nos balanços dos bancos, passa a ser um ponto a ser monitorado de perto, </w:t>
      </w:r>
      <w:r w:rsidR="000340C3">
        <w:rPr>
          <w:szCs w:val="24"/>
        </w:rPr>
        <w:t>tanto</w:t>
      </w:r>
      <w:r w:rsidR="00287D4D">
        <w:rPr>
          <w:szCs w:val="24"/>
        </w:rPr>
        <w:t xml:space="preserve"> pelos bancos, </w:t>
      </w:r>
      <w:r w:rsidR="000340C3">
        <w:rPr>
          <w:szCs w:val="24"/>
        </w:rPr>
        <w:t xml:space="preserve">quanto </w:t>
      </w:r>
      <w:r w:rsidR="00287D4D">
        <w:rPr>
          <w:szCs w:val="24"/>
        </w:rPr>
        <w:t>pelos gestores da</w:t>
      </w:r>
      <w:r w:rsidR="00204AB8">
        <w:rPr>
          <w:szCs w:val="24"/>
        </w:rPr>
        <w:t>s</w:t>
      </w:r>
      <w:r w:rsidR="00287D4D">
        <w:rPr>
          <w:szCs w:val="24"/>
        </w:rPr>
        <w:t xml:space="preserve"> política</w:t>
      </w:r>
      <w:r w:rsidR="00204AB8">
        <w:rPr>
          <w:szCs w:val="24"/>
        </w:rPr>
        <w:t>s</w:t>
      </w:r>
      <w:r w:rsidR="00287D4D">
        <w:rPr>
          <w:szCs w:val="24"/>
        </w:rPr>
        <w:t xml:space="preserve"> </w:t>
      </w:r>
      <w:r w:rsidR="00204AB8">
        <w:rPr>
          <w:szCs w:val="24"/>
        </w:rPr>
        <w:t xml:space="preserve">monetária e </w:t>
      </w:r>
      <w:r w:rsidR="00287D4D">
        <w:rPr>
          <w:szCs w:val="24"/>
        </w:rPr>
        <w:t xml:space="preserve">econômica. O </w:t>
      </w:r>
      <w:r w:rsidR="00287D4D" w:rsidRPr="00233321">
        <w:rPr>
          <w:szCs w:val="24"/>
        </w:rPr>
        <w:t>Índice de Preços dos Imóveis passa a ter importância de um termômetro, ou de um sismógrafo, que permit</w:t>
      </w:r>
      <w:r w:rsidR="00287D4D">
        <w:rPr>
          <w:szCs w:val="24"/>
        </w:rPr>
        <w:t>e</w:t>
      </w:r>
      <w:r w:rsidR="00287D4D" w:rsidRPr="00233321">
        <w:rPr>
          <w:szCs w:val="24"/>
        </w:rPr>
        <w:t xml:space="preserve"> medir a intensidade com que os preços dos imóveis se movem acima ou abaixo na </w:t>
      </w:r>
      <w:r w:rsidR="00287D4D">
        <w:rPr>
          <w:szCs w:val="24"/>
        </w:rPr>
        <w:t xml:space="preserve">escala dos preços, provendo desta forma, aos gestores das políticas monetária e econômica um instrumento valioso de análise de conjuntura. </w:t>
      </w:r>
    </w:p>
    <w:p w14:paraId="477ADC67" w14:textId="77777777" w:rsidR="004D04AF" w:rsidRDefault="004D04AF" w:rsidP="00CD0FEF">
      <w:pPr>
        <w:rPr>
          <w:szCs w:val="24"/>
          <w:u w:val="single"/>
        </w:rPr>
      </w:pPr>
    </w:p>
    <w:p w14:paraId="4BB473A6" w14:textId="73C285D2" w:rsidR="000340C3" w:rsidRPr="00850D9B" w:rsidRDefault="00290315" w:rsidP="003F1145">
      <w:pPr>
        <w:pStyle w:val="Ttulo2"/>
        <w:rPr>
          <w:rFonts w:ascii="Times New Roman" w:hAnsi="Times New Roman" w:cs="Times New Roman"/>
          <w:color w:val="auto"/>
          <w:szCs w:val="24"/>
        </w:rPr>
      </w:pPr>
      <w:bookmarkStart w:id="1" w:name="_Toc424741947"/>
      <w:r w:rsidRPr="00850D9B">
        <w:rPr>
          <w:rFonts w:ascii="Times New Roman" w:hAnsi="Times New Roman" w:cs="Times New Roman"/>
          <w:color w:val="auto"/>
          <w:szCs w:val="24"/>
        </w:rPr>
        <w:t xml:space="preserve">1.1 - </w:t>
      </w:r>
      <w:r w:rsidR="000340C3" w:rsidRPr="00850D9B">
        <w:rPr>
          <w:rFonts w:ascii="Times New Roman" w:hAnsi="Times New Roman" w:cs="Times New Roman"/>
          <w:color w:val="auto"/>
          <w:szCs w:val="24"/>
        </w:rPr>
        <w:t>Medição</w:t>
      </w:r>
      <w:bookmarkEnd w:id="1"/>
    </w:p>
    <w:p w14:paraId="633B9CF4" w14:textId="77777777" w:rsidR="000F32FC" w:rsidRDefault="00ED46B6" w:rsidP="00CD0FEF">
      <w:pPr>
        <w:rPr>
          <w:szCs w:val="24"/>
        </w:rPr>
      </w:pPr>
      <w:r>
        <w:rPr>
          <w:szCs w:val="24"/>
        </w:rPr>
        <w:t xml:space="preserve">Os ativos financeiros tem suas cotações avaliadas de duas formas básicas: ou as cotações são apresentadas segundo </w:t>
      </w:r>
      <w:r w:rsidR="00EF7121">
        <w:rPr>
          <w:szCs w:val="24"/>
        </w:rPr>
        <w:t xml:space="preserve">vão acontecendo </w:t>
      </w:r>
      <w:r>
        <w:rPr>
          <w:szCs w:val="24"/>
        </w:rPr>
        <w:t xml:space="preserve">suas negociações, alguns deles </w:t>
      </w:r>
      <w:proofErr w:type="spellStart"/>
      <w:r w:rsidRPr="00ED46B6">
        <w:rPr>
          <w:i/>
          <w:szCs w:val="24"/>
        </w:rPr>
        <w:t>on</w:t>
      </w:r>
      <w:proofErr w:type="spellEnd"/>
      <w:r w:rsidRPr="00ED46B6">
        <w:rPr>
          <w:i/>
          <w:szCs w:val="24"/>
        </w:rPr>
        <w:t xml:space="preserve"> </w:t>
      </w:r>
      <w:proofErr w:type="spellStart"/>
      <w:r w:rsidRPr="00ED46B6">
        <w:rPr>
          <w:i/>
          <w:szCs w:val="24"/>
        </w:rPr>
        <w:t>line</w:t>
      </w:r>
      <w:proofErr w:type="spellEnd"/>
      <w:r>
        <w:rPr>
          <w:szCs w:val="24"/>
        </w:rPr>
        <w:t xml:space="preserve">, como é o caso das ações, ou </w:t>
      </w:r>
      <w:r w:rsidR="000F32FC">
        <w:rPr>
          <w:szCs w:val="24"/>
        </w:rPr>
        <w:t xml:space="preserve">a intervalos maiores, por exemplo diariamente, </w:t>
      </w:r>
      <w:r>
        <w:rPr>
          <w:szCs w:val="24"/>
        </w:rPr>
        <w:t xml:space="preserve">conforme são negociados </w:t>
      </w:r>
      <w:r w:rsidR="00684F10">
        <w:rPr>
          <w:szCs w:val="24"/>
        </w:rPr>
        <w:t>nos mercados</w:t>
      </w:r>
      <w:r w:rsidR="000F32FC">
        <w:rPr>
          <w:szCs w:val="24"/>
        </w:rPr>
        <w:t>.</w:t>
      </w:r>
    </w:p>
    <w:p w14:paraId="5DB04B0A" w14:textId="7E627D13" w:rsidR="002B34D8" w:rsidRDefault="00684F10" w:rsidP="002B34D8">
      <w:pPr>
        <w:ind w:firstLine="708"/>
        <w:rPr>
          <w:szCs w:val="24"/>
        </w:rPr>
      </w:pPr>
      <w:r>
        <w:rPr>
          <w:szCs w:val="24"/>
        </w:rPr>
        <w:lastRenderedPageBreak/>
        <w:t>A outra forma de avaliação de um ativo financeiro é,</w:t>
      </w:r>
      <w:r w:rsidR="000F32FC">
        <w:rPr>
          <w:szCs w:val="24"/>
        </w:rPr>
        <w:t xml:space="preserve"> no jargão do mercado</w:t>
      </w:r>
      <w:r>
        <w:rPr>
          <w:szCs w:val="24"/>
        </w:rPr>
        <w:t xml:space="preserve">, pela “curva do papel”, ou seja, </w:t>
      </w:r>
      <w:r w:rsidR="00680471">
        <w:rPr>
          <w:szCs w:val="24"/>
        </w:rPr>
        <w:t xml:space="preserve">durante a vida de </w:t>
      </w:r>
      <w:r>
        <w:rPr>
          <w:szCs w:val="24"/>
        </w:rPr>
        <w:t xml:space="preserve">um </w:t>
      </w:r>
      <w:r w:rsidR="00680471">
        <w:rPr>
          <w:szCs w:val="24"/>
        </w:rPr>
        <w:t xml:space="preserve">título de dívida, que tem uma taxa de juros e um vencimento, esse título </w:t>
      </w:r>
      <w:r w:rsidR="003C40CC">
        <w:rPr>
          <w:szCs w:val="24"/>
        </w:rPr>
        <w:t>gera um fluxo de juros para o credor</w:t>
      </w:r>
      <w:r w:rsidR="005629B8">
        <w:rPr>
          <w:szCs w:val="24"/>
        </w:rPr>
        <w:t xml:space="preserve">, que </w:t>
      </w:r>
      <w:r w:rsidR="003C40CC">
        <w:rPr>
          <w:szCs w:val="24"/>
        </w:rPr>
        <w:t xml:space="preserve">tanto </w:t>
      </w:r>
      <w:r w:rsidR="005629B8">
        <w:rPr>
          <w:szCs w:val="24"/>
        </w:rPr>
        <w:t>pode</w:t>
      </w:r>
      <w:r w:rsidR="00020929">
        <w:rPr>
          <w:szCs w:val="24"/>
        </w:rPr>
        <w:t>m</w:t>
      </w:r>
      <w:r w:rsidR="003C40CC">
        <w:rPr>
          <w:szCs w:val="24"/>
        </w:rPr>
        <w:t xml:space="preserve"> ser</w:t>
      </w:r>
      <w:r w:rsidR="005629B8">
        <w:rPr>
          <w:szCs w:val="24"/>
        </w:rPr>
        <w:t xml:space="preserve"> capitalizados ou pagos, e </w:t>
      </w:r>
      <w:r w:rsidR="00DA1D5F">
        <w:rPr>
          <w:szCs w:val="24"/>
        </w:rPr>
        <w:t>esse</w:t>
      </w:r>
      <w:r w:rsidR="005629B8">
        <w:rPr>
          <w:szCs w:val="24"/>
        </w:rPr>
        <w:t xml:space="preserve"> fluxo permite avaliar o quanto vale aquele titulo de dívida a cada momento. A curva de um papel </w:t>
      </w:r>
      <w:r w:rsidR="00FA66EF">
        <w:rPr>
          <w:szCs w:val="24"/>
        </w:rPr>
        <w:t xml:space="preserve">também </w:t>
      </w:r>
      <w:r w:rsidR="005629B8">
        <w:rPr>
          <w:szCs w:val="24"/>
        </w:rPr>
        <w:t xml:space="preserve">pode ser </w:t>
      </w:r>
      <w:r w:rsidR="002B34D8">
        <w:rPr>
          <w:szCs w:val="24"/>
        </w:rPr>
        <w:t>alterada</w:t>
      </w:r>
      <w:r w:rsidR="005629B8">
        <w:rPr>
          <w:szCs w:val="24"/>
        </w:rPr>
        <w:t xml:space="preserve"> por eventos que afetem a reputação</w:t>
      </w:r>
      <w:r w:rsidR="00DA1D5F">
        <w:rPr>
          <w:szCs w:val="24"/>
        </w:rPr>
        <w:t xml:space="preserve"> ou a </w:t>
      </w:r>
      <w:r w:rsidR="005629B8">
        <w:rPr>
          <w:szCs w:val="24"/>
        </w:rPr>
        <w:t>capacidade de pagamento</w:t>
      </w:r>
      <w:r w:rsidR="005A60FA">
        <w:rPr>
          <w:szCs w:val="24"/>
        </w:rPr>
        <w:t xml:space="preserve"> do </w:t>
      </w:r>
      <w:r w:rsidR="00DA1D5F">
        <w:rPr>
          <w:szCs w:val="24"/>
        </w:rPr>
        <w:t>devedor</w:t>
      </w:r>
      <w:r w:rsidR="005A60FA">
        <w:rPr>
          <w:szCs w:val="24"/>
        </w:rPr>
        <w:t xml:space="preserve">, </w:t>
      </w:r>
      <w:r w:rsidR="002B34D8">
        <w:rPr>
          <w:szCs w:val="24"/>
        </w:rPr>
        <w:t>fato que pode aco</w:t>
      </w:r>
      <w:r w:rsidR="00FD0DBA">
        <w:rPr>
          <w:szCs w:val="24"/>
        </w:rPr>
        <w:t>ntecer com qualquer titulo de dí</w:t>
      </w:r>
      <w:r w:rsidR="002B34D8">
        <w:rPr>
          <w:szCs w:val="24"/>
        </w:rPr>
        <w:t>vida ou ação de empresa.</w:t>
      </w:r>
    </w:p>
    <w:p w14:paraId="76AAE677" w14:textId="041FAF21" w:rsidR="00FF50C2" w:rsidRDefault="005629B8" w:rsidP="00CD0FEF">
      <w:pPr>
        <w:rPr>
          <w:szCs w:val="24"/>
        </w:rPr>
      </w:pPr>
      <w:r>
        <w:rPr>
          <w:szCs w:val="24"/>
        </w:rPr>
        <w:tab/>
        <w:t xml:space="preserve">Estas duas formas básicas de avaliação dos ativos financeiros são da maior importância para os bancos. </w:t>
      </w:r>
      <w:r w:rsidR="00477D64">
        <w:rPr>
          <w:szCs w:val="24"/>
        </w:rPr>
        <w:t>Os bancos centrais tê</w:t>
      </w:r>
      <w:r w:rsidR="00850221">
        <w:rPr>
          <w:szCs w:val="24"/>
        </w:rPr>
        <w:t>m a função de zelar pela estabilidade do sistema financeiro, e tanto</w:t>
      </w:r>
      <w:r w:rsidR="00F13765">
        <w:rPr>
          <w:szCs w:val="24"/>
        </w:rPr>
        <w:t>, ou mais que</w:t>
      </w:r>
      <w:r w:rsidR="00850221">
        <w:rPr>
          <w:szCs w:val="24"/>
        </w:rPr>
        <w:t xml:space="preserve"> os própri</w:t>
      </w:r>
      <w:r w:rsidR="00477D64">
        <w:rPr>
          <w:szCs w:val="24"/>
        </w:rPr>
        <w:t>os bancos, os bancos centrais tê</w:t>
      </w:r>
      <w:r w:rsidR="00850221">
        <w:rPr>
          <w:szCs w:val="24"/>
        </w:rPr>
        <w:t>m que monitorar o valor dos ativos dos bancos</w:t>
      </w:r>
      <w:r w:rsidR="00F13765">
        <w:rPr>
          <w:szCs w:val="24"/>
        </w:rPr>
        <w:t>, que é em essência o que permit</w:t>
      </w:r>
      <w:r w:rsidR="00A43292">
        <w:rPr>
          <w:szCs w:val="24"/>
        </w:rPr>
        <w:t>e</w:t>
      </w:r>
      <w:r w:rsidR="00F13765">
        <w:rPr>
          <w:szCs w:val="24"/>
        </w:rPr>
        <w:t xml:space="preserve"> que eles </w:t>
      </w:r>
      <w:r w:rsidR="00E2664A">
        <w:rPr>
          <w:szCs w:val="24"/>
        </w:rPr>
        <w:t xml:space="preserve">possam se proteger </w:t>
      </w:r>
      <w:r w:rsidR="008827E4">
        <w:rPr>
          <w:szCs w:val="24"/>
        </w:rPr>
        <w:t xml:space="preserve">de uma </w:t>
      </w:r>
      <w:r w:rsidR="008167EA">
        <w:rPr>
          <w:szCs w:val="24"/>
        </w:rPr>
        <w:t xml:space="preserve">desvalorização desses ativos, e por consequência, de seu capital. O poder multiplicador </w:t>
      </w:r>
      <w:r w:rsidR="00543AFA">
        <w:rPr>
          <w:szCs w:val="24"/>
        </w:rPr>
        <w:t>do dinheiro que os bancos tê</w:t>
      </w:r>
      <w:r w:rsidR="00223F57">
        <w:rPr>
          <w:szCs w:val="24"/>
        </w:rPr>
        <w:t xml:space="preserve">m, só não é maior, e mais </w:t>
      </w:r>
      <w:r w:rsidR="00FF50C2">
        <w:rPr>
          <w:szCs w:val="24"/>
        </w:rPr>
        <w:t>fulminante</w:t>
      </w:r>
      <w:r w:rsidR="00223F57">
        <w:rPr>
          <w:szCs w:val="24"/>
        </w:rPr>
        <w:t xml:space="preserve">, do que o poder </w:t>
      </w:r>
      <w:r w:rsidR="00FF50C2">
        <w:rPr>
          <w:szCs w:val="24"/>
        </w:rPr>
        <w:t xml:space="preserve">disseminador </w:t>
      </w:r>
      <w:r w:rsidR="00223F57">
        <w:rPr>
          <w:szCs w:val="24"/>
        </w:rPr>
        <w:t>d</w:t>
      </w:r>
      <w:r w:rsidR="00FF50C2">
        <w:rPr>
          <w:szCs w:val="24"/>
        </w:rPr>
        <w:t>e</w:t>
      </w:r>
      <w:r w:rsidR="00223F57">
        <w:rPr>
          <w:szCs w:val="24"/>
        </w:rPr>
        <w:t xml:space="preserve"> crises </w:t>
      </w:r>
      <w:r w:rsidR="00A43292">
        <w:rPr>
          <w:szCs w:val="24"/>
        </w:rPr>
        <w:t>de</w:t>
      </w:r>
      <w:r w:rsidR="00223F57">
        <w:rPr>
          <w:szCs w:val="24"/>
        </w:rPr>
        <w:t xml:space="preserve"> um sistema bancário</w:t>
      </w:r>
      <w:r w:rsidR="00FF50C2">
        <w:rPr>
          <w:szCs w:val="24"/>
        </w:rPr>
        <w:t xml:space="preserve"> </w:t>
      </w:r>
      <w:r w:rsidR="004E714E">
        <w:rPr>
          <w:szCs w:val="24"/>
        </w:rPr>
        <w:t>em descapitalização.</w:t>
      </w:r>
      <w:r w:rsidR="00223F57">
        <w:rPr>
          <w:szCs w:val="24"/>
        </w:rPr>
        <w:t xml:space="preserve"> </w:t>
      </w:r>
    </w:p>
    <w:p w14:paraId="4AE91373" w14:textId="77777777" w:rsidR="00051FDB" w:rsidRDefault="00FF50C2" w:rsidP="00CD0FEF">
      <w:pPr>
        <w:rPr>
          <w:szCs w:val="24"/>
        </w:rPr>
      </w:pPr>
      <w:r w:rsidRPr="00FE1880">
        <w:rPr>
          <w:szCs w:val="24"/>
        </w:rPr>
        <w:tab/>
        <w:t>À medida</w:t>
      </w:r>
      <w:r w:rsidR="00486CEE" w:rsidRPr="00FE1880">
        <w:rPr>
          <w:szCs w:val="24"/>
        </w:rPr>
        <w:t xml:space="preserve"> </w:t>
      </w:r>
      <w:r w:rsidRPr="00FE1880">
        <w:rPr>
          <w:szCs w:val="24"/>
        </w:rPr>
        <w:t xml:space="preserve">que os imóveis </w:t>
      </w:r>
      <w:r w:rsidR="00486CEE" w:rsidRPr="00FE1880">
        <w:rPr>
          <w:szCs w:val="24"/>
        </w:rPr>
        <w:t xml:space="preserve">passam a representar parcela crescente das garantias no sistema financeiro de um país, </w:t>
      </w:r>
      <w:r w:rsidR="00A40BC4" w:rsidRPr="00FE1880">
        <w:rPr>
          <w:szCs w:val="24"/>
        </w:rPr>
        <w:t xml:space="preserve">é importante que o valor dessas garantias seja monitorado. A natureza dos imóveis é que torna essa medição uma tarefa </w:t>
      </w:r>
      <w:r w:rsidR="00652947" w:rsidRPr="00FE1880">
        <w:rPr>
          <w:szCs w:val="24"/>
        </w:rPr>
        <w:t>das mais complicadas. Ações e títulos de dívida são negociados a toda hora, o que não é o caso dos im</w:t>
      </w:r>
      <w:r w:rsidR="00EC6A1E" w:rsidRPr="00FE1880">
        <w:rPr>
          <w:szCs w:val="24"/>
        </w:rPr>
        <w:t>óveis, cuja passagem pelo mercado é um evento que</w:t>
      </w:r>
      <w:r w:rsidR="00615CD1" w:rsidRPr="00FE1880">
        <w:rPr>
          <w:szCs w:val="24"/>
        </w:rPr>
        <w:t>,</w:t>
      </w:r>
      <w:r w:rsidR="00EC6A1E" w:rsidRPr="00FE1880">
        <w:rPr>
          <w:szCs w:val="24"/>
        </w:rPr>
        <w:t xml:space="preserve"> na melhor das hipóteses</w:t>
      </w:r>
      <w:r w:rsidR="00615CD1" w:rsidRPr="00FE1880">
        <w:rPr>
          <w:szCs w:val="24"/>
        </w:rPr>
        <w:t>,</w:t>
      </w:r>
      <w:r w:rsidR="00EC6A1E" w:rsidRPr="00FE1880">
        <w:rPr>
          <w:szCs w:val="24"/>
        </w:rPr>
        <w:t xml:space="preserve"> ocorre </w:t>
      </w:r>
      <w:r w:rsidR="00615CD1" w:rsidRPr="00FE1880">
        <w:rPr>
          <w:szCs w:val="24"/>
        </w:rPr>
        <w:t xml:space="preserve">uma vez por </w:t>
      </w:r>
      <w:r w:rsidR="00EC6A1E" w:rsidRPr="00FE1880">
        <w:rPr>
          <w:szCs w:val="24"/>
        </w:rPr>
        <w:t xml:space="preserve">ano. Para tornar a aferição de preços dos imóveis uma tarefa ainda mais difícil, cada imóvel é único, </w:t>
      </w:r>
      <w:r w:rsidR="00882198">
        <w:rPr>
          <w:szCs w:val="24"/>
        </w:rPr>
        <w:t>enquanto qualquer ação da empresa X é igual a qualquer outra ação dessa mesma empresa.</w:t>
      </w:r>
      <w:r w:rsidR="00A27CB6" w:rsidRPr="00FE1880">
        <w:rPr>
          <w:szCs w:val="24"/>
        </w:rPr>
        <w:t xml:space="preserve"> Os índices de preços ao consumidor são feitos com base na verificação mensal dos preços dos mesmos produtos.</w:t>
      </w:r>
    </w:p>
    <w:p w14:paraId="07C00B94" w14:textId="138F04B2" w:rsidR="003F67CD" w:rsidRPr="009C67D4" w:rsidRDefault="00051FDB" w:rsidP="00A12C96">
      <w:pPr>
        <w:rPr>
          <w:strike/>
          <w:szCs w:val="24"/>
        </w:rPr>
      </w:pPr>
      <w:r>
        <w:rPr>
          <w:szCs w:val="24"/>
        </w:rPr>
        <w:tab/>
      </w:r>
      <w:r w:rsidR="008432C3">
        <w:rPr>
          <w:szCs w:val="24"/>
        </w:rPr>
        <w:t>No caso dos imóveis, os índices</w:t>
      </w:r>
      <w:r w:rsidR="006E5846">
        <w:rPr>
          <w:szCs w:val="24"/>
        </w:rPr>
        <w:t xml:space="preserve"> existentes </w:t>
      </w:r>
      <w:r w:rsidR="008432C3">
        <w:rPr>
          <w:szCs w:val="24"/>
        </w:rPr>
        <w:t xml:space="preserve">tem que </w:t>
      </w:r>
      <w:r w:rsidR="00A12C96">
        <w:rPr>
          <w:szCs w:val="24"/>
        </w:rPr>
        <w:t xml:space="preserve">criar </w:t>
      </w:r>
      <w:r w:rsidR="008432C3">
        <w:rPr>
          <w:szCs w:val="24"/>
        </w:rPr>
        <w:t xml:space="preserve">um referencial que homogenize </w:t>
      </w:r>
      <w:r w:rsidR="006E5846">
        <w:rPr>
          <w:szCs w:val="24"/>
        </w:rPr>
        <w:t>os diferentes imóveis segundo algum crit</w:t>
      </w:r>
      <w:r w:rsidR="00D33DB7">
        <w:rPr>
          <w:szCs w:val="24"/>
        </w:rPr>
        <w:t xml:space="preserve">ério, de forma a superar a impossibilidade concreta de </w:t>
      </w:r>
      <w:r w:rsidR="006717FC">
        <w:rPr>
          <w:szCs w:val="24"/>
        </w:rPr>
        <w:t>ter os mesmos imóveis medidos regularmente, dado que não são vendidos a períodos regulares.</w:t>
      </w:r>
    </w:p>
    <w:p w14:paraId="051796B9" w14:textId="07ABF9B2" w:rsidR="008D7C71" w:rsidRDefault="009C67D4" w:rsidP="00CD0FEF">
      <w:pPr>
        <w:rPr>
          <w:szCs w:val="24"/>
        </w:rPr>
      </w:pPr>
      <w:r>
        <w:rPr>
          <w:szCs w:val="24"/>
        </w:rPr>
        <w:tab/>
      </w:r>
      <w:r w:rsidR="003D2ACF">
        <w:rPr>
          <w:szCs w:val="24"/>
        </w:rPr>
        <w:t xml:space="preserve">Dada a </w:t>
      </w:r>
      <w:r w:rsidR="00233321" w:rsidRPr="00233321">
        <w:rPr>
          <w:szCs w:val="24"/>
        </w:rPr>
        <w:t>importância das</w:t>
      </w:r>
      <w:r w:rsidR="00233321">
        <w:rPr>
          <w:szCs w:val="24"/>
        </w:rPr>
        <w:t xml:space="preserve"> </w:t>
      </w:r>
      <w:r w:rsidR="003D2ACF">
        <w:rPr>
          <w:szCs w:val="24"/>
        </w:rPr>
        <w:t xml:space="preserve">variações dos preços dos imóveis para as crises econômicas, como resultado dos efeitos da </w:t>
      </w:r>
      <w:r w:rsidR="005E4CB2">
        <w:rPr>
          <w:szCs w:val="24"/>
        </w:rPr>
        <w:t>des</w:t>
      </w:r>
      <w:r w:rsidR="003D2ACF">
        <w:rPr>
          <w:szCs w:val="24"/>
        </w:rPr>
        <w:t>valori</w:t>
      </w:r>
      <w:r w:rsidR="005E4CB2">
        <w:rPr>
          <w:szCs w:val="24"/>
        </w:rPr>
        <w:t>zaç</w:t>
      </w:r>
      <w:r w:rsidR="007D64A7">
        <w:rPr>
          <w:szCs w:val="24"/>
        </w:rPr>
        <w:t>ão</w:t>
      </w:r>
      <w:r w:rsidR="003D2ACF">
        <w:rPr>
          <w:szCs w:val="24"/>
        </w:rPr>
        <w:t xml:space="preserve"> do</w:t>
      </w:r>
      <w:r w:rsidR="005E4CB2">
        <w:rPr>
          <w:szCs w:val="24"/>
        </w:rPr>
        <w:t>s</w:t>
      </w:r>
      <w:r w:rsidR="003D2ACF">
        <w:rPr>
          <w:szCs w:val="24"/>
        </w:rPr>
        <w:t xml:space="preserve"> imóveis sobre o sistema bancário, e </w:t>
      </w:r>
      <w:r w:rsidR="00AF0933">
        <w:rPr>
          <w:szCs w:val="24"/>
        </w:rPr>
        <w:t xml:space="preserve">seu </w:t>
      </w:r>
      <w:r w:rsidR="005E4CB2">
        <w:rPr>
          <w:szCs w:val="24"/>
        </w:rPr>
        <w:t xml:space="preserve">efeito multiplicador sobre a economia como um todo, em que os ativos imobiliários passam a representar uma parcela crescente das garantias do sistema financeiro, </w:t>
      </w:r>
      <w:r w:rsidR="00C71D59">
        <w:rPr>
          <w:szCs w:val="24"/>
        </w:rPr>
        <w:t xml:space="preserve">o foco central de nossa atenção é o assunto </w:t>
      </w:r>
      <w:r w:rsidR="00BD2578">
        <w:rPr>
          <w:szCs w:val="24"/>
          <w:u w:val="single"/>
        </w:rPr>
        <w:t>Índice de Preços d</w:t>
      </w:r>
      <w:r w:rsidR="00BD2578" w:rsidRPr="00574F54">
        <w:rPr>
          <w:szCs w:val="24"/>
          <w:u w:val="single"/>
        </w:rPr>
        <w:t>e Imóveis</w:t>
      </w:r>
      <w:r w:rsidR="007A205F">
        <w:rPr>
          <w:szCs w:val="24"/>
        </w:rPr>
        <w:t xml:space="preserve">, com ênfase </w:t>
      </w:r>
      <w:r w:rsidR="00574F54">
        <w:rPr>
          <w:szCs w:val="24"/>
        </w:rPr>
        <w:t xml:space="preserve">na </w:t>
      </w:r>
      <w:r w:rsidR="007A205F">
        <w:rPr>
          <w:szCs w:val="24"/>
        </w:rPr>
        <w:t>visão d</w:t>
      </w:r>
      <w:r w:rsidR="00BD2578">
        <w:rPr>
          <w:szCs w:val="24"/>
        </w:rPr>
        <w:t xml:space="preserve">os </w:t>
      </w:r>
      <w:r w:rsidR="00771C3C">
        <w:rPr>
          <w:szCs w:val="24"/>
        </w:rPr>
        <w:t xml:space="preserve">reguladores do </w:t>
      </w:r>
      <w:r w:rsidR="007A205F">
        <w:rPr>
          <w:szCs w:val="24"/>
        </w:rPr>
        <w:t xml:space="preserve">sistema financeiro. </w:t>
      </w:r>
    </w:p>
    <w:p w14:paraId="6D88D05B" w14:textId="0437EAE0" w:rsidR="00774343" w:rsidRPr="00615232" w:rsidRDefault="00D5015F" w:rsidP="00CD0FEF">
      <w:pPr>
        <w:ind w:firstLine="708"/>
        <w:rPr>
          <w:rFonts w:cs="Times New Roman"/>
          <w:szCs w:val="24"/>
        </w:rPr>
      </w:pPr>
      <w:r>
        <w:rPr>
          <w:szCs w:val="24"/>
        </w:rPr>
        <w:t>E</w:t>
      </w:r>
      <w:r w:rsidR="00771C3C">
        <w:rPr>
          <w:szCs w:val="24"/>
        </w:rPr>
        <w:t xml:space="preserve">ssa </w:t>
      </w:r>
      <w:r w:rsidR="007A205F">
        <w:rPr>
          <w:szCs w:val="24"/>
        </w:rPr>
        <w:t>visão está representada</w:t>
      </w:r>
      <w:r>
        <w:rPr>
          <w:szCs w:val="24"/>
        </w:rPr>
        <w:t xml:space="preserve"> aqui</w:t>
      </w:r>
      <w:r w:rsidR="007A205F">
        <w:rPr>
          <w:szCs w:val="24"/>
        </w:rPr>
        <w:t xml:space="preserve"> por docum</w:t>
      </w:r>
      <w:r w:rsidR="00343AEE">
        <w:rPr>
          <w:szCs w:val="24"/>
        </w:rPr>
        <w:t xml:space="preserve">entos de duas instituições </w:t>
      </w:r>
      <w:r w:rsidR="007A205F">
        <w:rPr>
          <w:szCs w:val="24"/>
        </w:rPr>
        <w:t xml:space="preserve">centrais do sistema financeiro internacional, o BIS – </w:t>
      </w:r>
      <w:r w:rsidR="007A205F" w:rsidRPr="0090162F">
        <w:rPr>
          <w:i/>
          <w:szCs w:val="24"/>
        </w:rPr>
        <w:t xml:space="preserve">Bank for </w:t>
      </w:r>
      <w:proofErr w:type="spellStart"/>
      <w:r w:rsidR="007A205F" w:rsidRPr="0090162F">
        <w:rPr>
          <w:i/>
          <w:szCs w:val="24"/>
        </w:rPr>
        <w:t>International</w:t>
      </w:r>
      <w:proofErr w:type="spellEnd"/>
      <w:r w:rsidR="007A205F" w:rsidRPr="0090162F">
        <w:rPr>
          <w:i/>
          <w:szCs w:val="24"/>
        </w:rPr>
        <w:t xml:space="preserve"> </w:t>
      </w:r>
      <w:proofErr w:type="spellStart"/>
      <w:r w:rsidR="007A205F" w:rsidRPr="0090162F">
        <w:rPr>
          <w:i/>
          <w:szCs w:val="24"/>
        </w:rPr>
        <w:t>Settlements</w:t>
      </w:r>
      <w:proofErr w:type="spellEnd"/>
      <w:r w:rsidR="007A205F">
        <w:rPr>
          <w:szCs w:val="24"/>
        </w:rPr>
        <w:t xml:space="preserve">, e o FMI – Fundo Monetário Internacional. Os documentos centrais </w:t>
      </w:r>
      <w:r w:rsidR="00AC04F0">
        <w:rPr>
          <w:szCs w:val="24"/>
        </w:rPr>
        <w:t xml:space="preserve">são resultado de uma conferência promovida </w:t>
      </w:r>
      <w:r w:rsidR="00525C35">
        <w:rPr>
          <w:szCs w:val="24"/>
        </w:rPr>
        <w:t xml:space="preserve">conjuntamente </w:t>
      </w:r>
      <w:r w:rsidR="00AC04F0">
        <w:rPr>
          <w:szCs w:val="24"/>
        </w:rPr>
        <w:t xml:space="preserve">por essas duas instituições em 2003, e que o BIS reuniu em um </w:t>
      </w:r>
      <w:r w:rsidR="00525C35">
        <w:rPr>
          <w:szCs w:val="24"/>
        </w:rPr>
        <w:t>grupo d</w:t>
      </w:r>
      <w:r w:rsidR="00AC04F0">
        <w:rPr>
          <w:szCs w:val="24"/>
        </w:rPr>
        <w:t>e textos denominado</w:t>
      </w:r>
      <w:r w:rsidR="00615232">
        <w:rPr>
          <w:szCs w:val="24"/>
        </w:rPr>
        <w:t xml:space="preserve"> </w:t>
      </w:r>
      <w:r w:rsidR="00615232" w:rsidRPr="00D4020A">
        <w:rPr>
          <w:rFonts w:cs="Times New Roman"/>
          <w:i/>
          <w:szCs w:val="24"/>
        </w:rPr>
        <w:t xml:space="preserve">Real </w:t>
      </w:r>
      <w:proofErr w:type="spellStart"/>
      <w:r w:rsidR="00E427DF" w:rsidRPr="00D4020A">
        <w:rPr>
          <w:rFonts w:cs="Times New Roman"/>
          <w:i/>
          <w:szCs w:val="24"/>
        </w:rPr>
        <w:t>E</w:t>
      </w:r>
      <w:r w:rsidR="00615232" w:rsidRPr="00D4020A">
        <w:rPr>
          <w:rFonts w:cs="Times New Roman"/>
          <w:i/>
          <w:szCs w:val="24"/>
        </w:rPr>
        <w:t>state</w:t>
      </w:r>
      <w:proofErr w:type="spellEnd"/>
      <w:r w:rsidR="00615232" w:rsidRPr="00D4020A">
        <w:rPr>
          <w:rFonts w:cs="Times New Roman"/>
          <w:i/>
          <w:szCs w:val="24"/>
        </w:rPr>
        <w:t xml:space="preserve"> </w:t>
      </w:r>
      <w:proofErr w:type="spellStart"/>
      <w:r w:rsidR="00E427DF" w:rsidRPr="00D4020A">
        <w:rPr>
          <w:rFonts w:cs="Times New Roman"/>
          <w:i/>
          <w:szCs w:val="24"/>
        </w:rPr>
        <w:t>I</w:t>
      </w:r>
      <w:r w:rsidR="00615232" w:rsidRPr="00D4020A">
        <w:rPr>
          <w:rFonts w:cs="Times New Roman"/>
          <w:i/>
          <w:szCs w:val="24"/>
        </w:rPr>
        <w:t>ndicators</w:t>
      </w:r>
      <w:proofErr w:type="spellEnd"/>
      <w:r w:rsidR="00615232" w:rsidRPr="00D4020A">
        <w:rPr>
          <w:rFonts w:cs="Times New Roman"/>
          <w:i/>
          <w:szCs w:val="24"/>
        </w:rPr>
        <w:t xml:space="preserve"> </w:t>
      </w:r>
      <w:proofErr w:type="spellStart"/>
      <w:r w:rsidR="00615232" w:rsidRPr="00D4020A">
        <w:rPr>
          <w:rFonts w:cs="Times New Roman"/>
          <w:i/>
          <w:szCs w:val="24"/>
        </w:rPr>
        <w:t>and</w:t>
      </w:r>
      <w:proofErr w:type="spellEnd"/>
      <w:r w:rsidR="00E427DF" w:rsidRPr="00D4020A">
        <w:rPr>
          <w:rFonts w:cs="Times New Roman"/>
          <w:i/>
          <w:szCs w:val="24"/>
        </w:rPr>
        <w:t xml:space="preserve"> F</w:t>
      </w:r>
      <w:r w:rsidR="00615232" w:rsidRPr="00D4020A">
        <w:rPr>
          <w:rFonts w:cs="Times New Roman"/>
          <w:i/>
          <w:szCs w:val="24"/>
        </w:rPr>
        <w:t xml:space="preserve">inancial </w:t>
      </w:r>
      <w:proofErr w:type="spellStart"/>
      <w:r w:rsidR="00E427DF" w:rsidRPr="00D4020A">
        <w:rPr>
          <w:rFonts w:cs="Times New Roman"/>
          <w:i/>
          <w:szCs w:val="24"/>
        </w:rPr>
        <w:t>S</w:t>
      </w:r>
      <w:r w:rsidR="00615232" w:rsidRPr="00D4020A">
        <w:rPr>
          <w:rFonts w:cs="Times New Roman"/>
          <w:i/>
          <w:szCs w:val="24"/>
        </w:rPr>
        <w:t>tability</w:t>
      </w:r>
      <w:proofErr w:type="spellEnd"/>
      <w:r w:rsidR="00E427DF" w:rsidRPr="00D4020A">
        <w:rPr>
          <w:rFonts w:cs="Times New Roman"/>
          <w:i/>
          <w:szCs w:val="24"/>
        </w:rPr>
        <w:t xml:space="preserve"> </w:t>
      </w:r>
      <w:r w:rsidR="00FD0B17" w:rsidRPr="00D4020A">
        <w:rPr>
          <w:rFonts w:cs="Times New Roman"/>
          <w:i/>
          <w:szCs w:val="24"/>
        </w:rPr>
        <w:t xml:space="preserve">- </w:t>
      </w:r>
      <w:proofErr w:type="spellStart"/>
      <w:r w:rsidR="00615232" w:rsidRPr="00D4020A">
        <w:rPr>
          <w:rFonts w:cs="Times New Roman"/>
          <w:i/>
          <w:szCs w:val="24"/>
        </w:rPr>
        <w:t>Proceedings</w:t>
      </w:r>
      <w:proofErr w:type="spellEnd"/>
      <w:r w:rsidR="00615232" w:rsidRPr="00D4020A">
        <w:rPr>
          <w:rFonts w:cs="Times New Roman"/>
          <w:i/>
          <w:szCs w:val="24"/>
        </w:rPr>
        <w:t xml:space="preserve"> </w:t>
      </w:r>
      <w:proofErr w:type="spellStart"/>
      <w:r w:rsidR="00615232" w:rsidRPr="00D4020A">
        <w:rPr>
          <w:rFonts w:cs="Times New Roman"/>
          <w:i/>
          <w:szCs w:val="24"/>
        </w:rPr>
        <w:t>of</w:t>
      </w:r>
      <w:proofErr w:type="spellEnd"/>
      <w:r w:rsidR="00615232" w:rsidRPr="00D4020A">
        <w:rPr>
          <w:rFonts w:cs="Times New Roman"/>
          <w:i/>
          <w:szCs w:val="24"/>
        </w:rPr>
        <w:t xml:space="preserve"> a joint </w:t>
      </w:r>
      <w:proofErr w:type="spellStart"/>
      <w:r w:rsidR="00615232" w:rsidRPr="00D4020A">
        <w:rPr>
          <w:rFonts w:cs="Times New Roman"/>
          <w:i/>
          <w:szCs w:val="24"/>
        </w:rPr>
        <w:t>conference</w:t>
      </w:r>
      <w:proofErr w:type="spellEnd"/>
      <w:r w:rsidR="00615232" w:rsidRPr="00D4020A">
        <w:rPr>
          <w:rFonts w:cs="Times New Roman"/>
          <w:i/>
          <w:szCs w:val="24"/>
        </w:rPr>
        <w:t xml:space="preserve"> </w:t>
      </w:r>
      <w:proofErr w:type="spellStart"/>
      <w:r w:rsidR="00615232" w:rsidRPr="00D4020A">
        <w:rPr>
          <w:rFonts w:cs="Times New Roman"/>
          <w:i/>
          <w:szCs w:val="24"/>
        </w:rPr>
        <w:t>organised</w:t>
      </w:r>
      <w:proofErr w:type="spellEnd"/>
      <w:r w:rsidR="00615232" w:rsidRPr="00D4020A">
        <w:rPr>
          <w:rFonts w:cs="Times New Roman"/>
          <w:i/>
          <w:szCs w:val="24"/>
        </w:rPr>
        <w:t xml:space="preserve"> </w:t>
      </w:r>
      <w:proofErr w:type="spellStart"/>
      <w:r w:rsidR="00615232" w:rsidRPr="00D4020A">
        <w:rPr>
          <w:rFonts w:cs="Times New Roman"/>
          <w:i/>
          <w:szCs w:val="24"/>
        </w:rPr>
        <w:t>by</w:t>
      </w:r>
      <w:proofErr w:type="spellEnd"/>
      <w:r w:rsidR="00615232" w:rsidRPr="00D4020A">
        <w:rPr>
          <w:rFonts w:cs="Times New Roman"/>
          <w:i/>
          <w:szCs w:val="24"/>
        </w:rPr>
        <w:t xml:space="preserve"> </w:t>
      </w:r>
      <w:proofErr w:type="spellStart"/>
      <w:r w:rsidR="00615232" w:rsidRPr="00D4020A">
        <w:rPr>
          <w:rFonts w:cs="Times New Roman"/>
          <w:i/>
          <w:szCs w:val="24"/>
        </w:rPr>
        <w:t>the</w:t>
      </w:r>
      <w:proofErr w:type="spellEnd"/>
      <w:r w:rsidR="00E427DF" w:rsidRPr="00D4020A">
        <w:rPr>
          <w:rFonts w:cs="Times New Roman"/>
          <w:i/>
          <w:szCs w:val="24"/>
        </w:rPr>
        <w:t xml:space="preserve"> </w:t>
      </w:r>
      <w:r w:rsidR="00615232" w:rsidRPr="00D4020A">
        <w:rPr>
          <w:rFonts w:cs="Times New Roman"/>
          <w:i/>
          <w:szCs w:val="24"/>
        </w:rPr>
        <w:t xml:space="preserve">BIS </w:t>
      </w:r>
      <w:proofErr w:type="spellStart"/>
      <w:r w:rsidR="00615232" w:rsidRPr="00D4020A">
        <w:rPr>
          <w:rFonts w:cs="Times New Roman"/>
          <w:i/>
          <w:szCs w:val="24"/>
        </w:rPr>
        <w:t>and</w:t>
      </w:r>
      <w:proofErr w:type="spellEnd"/>
      <w:r w:rsidR="00615232" w:rsidRPr="00D4020A">
        <w:rPr>
          <w:rFonts w:cs="Times New Roman"/>
          <w:i/>
          <w:szCs w:val="24"/>
        </w:rPr>
        <w:t xml:space="preserve"> </w:t>
      </w:r>
      <w:proofErr w:type="spellStart"/>
      <w:r w:rsidR="00615232" w:rsidRPr="00D4020A">
        <w:rPr>
          <w:rFonts w:cs="Times New Roman"/>
          <w:i/>
          <w:szCs w:val="24"/>
        </w:rPr>
        <w:t>the</w:t>
      </w:r>
      <w:proofErr w:type="spellEnd"/>
      <w:r w:rsidR="00615232" w:rsidRPr="00D4020A">
        <w:rPr>
          <w:rFonts w:cs="Times New Roman"/>
          <w:i/>
          <w:szCs w:val="24"/>
        </w:rPr>
        <w:t xml:space="preserve"> IMF in Washington DC,</w:t>
      </w:r>
      <w:r w:rsidR="00E427DF" w:rsidRPr="00D4020A">
        <w:rPr>
          <w:rFonts w:cs="Times New Roman"/>
          <w:i/>
          <w:szCs w:val="24"/>
        </w:rPr>
        <w:t xml:space="preserve"> </w:t>
      </w:r>
      <w:r w:rsidR="00615232" w:rsidRPr="00D4020A">
        <w:rPr>
          <w:rFonts w:cs="Times New Roman"/>
          <w:i/>
          <w:szCs w:val="24"/>
        </w:rPr>
        <w:t xml:space="preserve">27–28 </w:t>
      </w:r>
      <w:proofErr w:type="spellStart"/>
      <w:r w:rsidR="00615232" w:rsidRPr="00D4020A">
        <w:rPr>
          <w:rFonts w:cs="Times New Roman"/>
          <w:i/>
          <w:szCs w:val="24"/>
        </w:rPr>
        <w:t>October</w:t>
      </w:r>
      <w:proofErr w:type="spellEnd"/>
      <w:r w:rsidR="00615232" w:rsidRPr="00D4020A">
        <w:rPr>
          <w:rFonts w:cs="Times New Roman"/>
          <w:i/>
          <w:szCs w:val="24"/>
        </w:rPr>
        <w:t xml:space="preserve"> 2003</w:t>
      </w:r>
      <w:r w:rsidR="00E427DF">
        <w:rPr>
          <w:rFonts w:cs="Times New Roman"/>
          <w:szCs w:val="24"/>
        </w:rPr>
        <w:t>,</w:t>
      </w:r>
      <w:r>
        <w:rPr>
          <w:rFonts w:cs="Times New Roman"/>
          <w:szCs w:val="24"/>
        </w:rPr>
        <w:t xml:space="preserve"> </w:t>
      </w:r>
      <w:r w:rsidR="00E427DF">
        <w:rPr>
          <w:rFonts w:cs="Times New Roman"/>
          <w:szCs w:val="24"/>
        </w:rPr>
        <w:t xml:space="preserve">e que foram reunidos sob o nº 21 entre os </w:t>
      </w:r>
      <w:proofErr w:type="spellStart"/>
      <w:r w:rsidR="00E427DF" w:rsidRPr="00D4020A">
        <w:rPr>
          <w:rFonts w:cs="Times New Roman"/>
          <w:i/>
          <w:szCs w:val="24"/>
        </w:rPr>
        <w:t>Working</w:t>
      </w:r>
      <w:proofErr w:type="spellEnd"/>
      <w:r w:rsidR="00E427DF" w:rsidRPr="00D4020A">
        <w:rPr>
          <w:rFonts w:cs="Times New Roman"/>
          <w:i/>
          <w:szCs w:val="24"/>
        </w:rPr>
        <w:t xml:space="preserve"> </w:t>
      </w:r>
      <w:proofErr w:type="spellStart"/>
      <w:r w:rsidR="00E427DF" w:rsidRPr="00D4020A">
        <w:rPr>
          <w:rFonts w:cs="Times New Roman"/>
          <w:i/>
          <w:szCs w:val="24"/>
        </w:rPr>
        <w:t>Papers</w:t>
      </w:r>
      <w:proofErr w:type="spellEnd"/>
      <w:r w:rsidR="00E427DF">
        <w:rPr>
          <w:rFonts w:cs="Times New Roman"/>
          <w:szCs w:val="24"/>
        </w:rPr>
        <w:t xml:space="preserve"> do BIS</w:t>
      </w:r>
      <w:r w:rsidR="00FD0B17">
        <w:rPr>
          <w:rFonts w:cs="Times New Roman"/>
          <w:szCs w:val="24"/>
        </w:rPr>
        <w:t xml:space="preserve"> em 2005</w:t>
      </w:r>
      <w:r w:rsidR="00362BAB">
        <w:rPr>
          <w:rFonts w:cs="Times New Roman"/>
          <w:szCs w:val="24"/>
        </w:rPr>
        <w:t xml:space="preserve">, e </w:t>
      </w:r>
      <w:r w:rsidR="008D7C71">
        <w:rPr>
          <w:rFonts w:cs="Times New Roman"/>
          <w:szCs w:val="24"/>
        </w:rPr>
        <w:t xml:space="preserve">podem ser encontrados </w:t>
      </w:r>
      <w:r w:rsidR="00362BAB">
        <w:rPr>
          <w:rFonts w:cs="Times New Roman"/>
          <w:szCs w:val="24"/>
        </w:rPr>
        <w:t>no site d</w:t>
      </w:r>
      <w:r w:rsidR="008D7C71">
        <w:rPr>
          <w:rFonts w:cs="Times New Roman"/>
          <w:szCs w:val="24"/>
        </w:rPr>
        <w:t>o BIS</w:t>
      </w:r>
      <w:r w:rsidR="001D4BAA">
        <w:rPr>
          <w:rStyle w:val="Refdenotaderodap"/>
          <w:rFonts w:cs="Times New Roman"/>
          <w:szCs w:val="24"/>
        </w:rPr>
        <w:footnoteReference w:id="1"/>
      </w:r>
      <w:r w:rsidR="00BD2578">
        <w:rPr>
          <w:rFonts w:cs="Times New Roman"/>
          <w:szCs w:val="24"/>
        </w:rPr>
        <w:t>, d</w:t>
      </w:r>
      <w:r w:rsidR="00AD2A67">
        <w:rPr>
          <w:rFonts w:cs="Times New Roman"/>
          <w:szCs w:val="24"/>
        </w:rPr>
        <w:t>oravante referido apenas como WP 21.</w:t>
      </w:r>
      <w:r w:rsidR="00C71D59" w:rsidRPr="00615232">
        <w:rPr>
          <w:rFonts w:cs="Times New Roman"/>
          <w:szCs w:val="24"/>
        </w:rPr>
        <w:t xml:space="preserve"> </w:t>
      </w:r>
      <w:r w:rsidR="003D2ACF" w:rsidRPr="00615232">
        <w:rPr>
          <w:rFonts w:cs="Times New Roman"/>
          <w:szCs w:val="24"/>
        </w:rPr>
        <w:t xml:space="preserve"> </w:t>
      </w:r>
    </w:p>
    <w:p w14:paraId="7678001B" w14:textId="3918F6DC" w:rsidR="00407CC7" w:rsidRDefault="00525C35" w:rsidP="00CD0FEF">
      <w:pPr>
        <w:rPr>
          <w:szCs w:val="24"/>
        </w:rPr>
      </w:pPr>
      <w:r>
        <w:rPr>
          <w:szCs w:val="24"/>
        </w:rPr>
        <w:tab/>
        <w:t xml:space="preserve">Essa conferência organizada em 2003 precedeu em alguns anos a grave crise </w:t>
      </w:r>
      <w:r w:rsidR="00BC70B2">
        <w:rPr>
          <w:szCs w:val="24"/>
        </w:rPr>
        <w:t xml:space="preserve">iniciada em </w:t>
      </w:r>
      <w:r>
        <w:rPr>
          <w:szCs w:val="24"/>
        </w:rPr>
        <w:t>2008, e aparentemente, apesar de as discussões ali havidas estarem focadas</w:t>
      </w:r>
      <w:r w:rsidR="00BC70B2">
        <w:rPr>
          <w:szCs w:val="24"/>
        </w:rPr>
        <w:t xml:space="preserve"> no problema da volatilidade dos preços dos imóveis</w:t>
      </w:r>
      <w:r w:rsidR="007D6907">
        <w:rPr>
          <w:szCs w:val="24"/>
        </w:rPr>
        <w:t xml:space="preserve"> e seus efeitos sobre o sistema financeiro</w:t>
      </w:r>
      <w:r w:rsidR="00BC70B2">
        <w:rPr>
          <w:szCs w:val="24"/>
        </w:rPr>
        <w:t xml:space="preserve">, elas não tiveram o poder de orientar os </w:t>
      </w:r>
      <w:r w:rsidR="00BC70B2" w:rsidRPr="007D6907">
        <w:rPr>
          <w:i/>
          <w:szCs w:val="24"/>
        </w:rPr>
        <w:t>policy makers</w:t>
      </w:r>
      <w:r w:rsidR="00BC70B2">
        <w:rPr>
          <w:szCs w:val="24"/>
        </w:rPr>
        <w:t xml:space="preserve"> no sentido de reduzir os efeitos dessa volatilidade</w:t>
      </w:r>
      <w:r w:rsidR="00915773">
        <w:rPr>
          <w:szCs w:val="24"/>
        </w:rPr>
        <w:t xml:space="preserve">, ou de criar mecanismos de </w:t>
      </w:r>
      <w:r w:rsidR="00482569">
        <w:rPr>
          <w:szCs w:val="24"/>
        </w:rPr>
        <w:t>política</w:t>
      </w:r>
      <w:r w:rsidR="00915773">
        <w:rPr>
          <w:szCs w:val="24"/>
        </w:rPr>
        <w:t xml:space="preserve">s econômica e monetária para </w:t>
      </w:r>
      <w:r w:rsidR="007D6907">
        <w:rPr>
          <w:szCs w:val="24"/>
        </w:rPr>
        <w:t xml:space="preserve">países individualmente, nem </w:t>
      </w:r>
      <w:r w:rsidR="00915773">
        <w:rPr>
          <w:szCs w:val="24"/>
        </w:rPr>
        <w:t xml:space="preserve">para </w:t>
      </w:r>
      <w:r w:rsidR="007D6907">
        <w:rPr>
          <w:szCs w:val="24"/>
        </w:rPr>
        <w:t>o sistema financeiro internacional</w:t>
      </w:r>
      <w:r w:rsidR="00915773">
        <w:rPr>
          <w:szCs w:val="24"/>
        </w:rPr>
        <w:t xml:space="preserve"> de forma global</w:t>
      </w:r>
      <w:r w:rsidR="007D6907">
        <w:rPr>
          <w:szCs w:val="24"/>
        </w:rPr>
        <w:t>.</w:t>
      </w:r>
    </w:p>
    <w:p w14:paraId="15CCB2E3" w14:textId="7C19FF66" w:rsidR="005D50CD" w:rsidRDefault="00997729" w:rsidP="00CD0FEF">
      <w:pPr>
        <w:ind w:firstLine="708"/>
      </w:pPr>
      <w:r>
        <w:lastRenderedPageBreak/>
        <w:t xml:space="preserve">A proposta deste texto </w:t>
      </w:r>
      <w:r w:rsidR="006713EF">
        <w:t xml:space="preserve">é </w:t>
      </w:r>
      <w:r w:rsidR="00504A3E">
        <w:t xml:space="preserve">analisar </w:t>
      </w:r>
      <w:r w:rsidR="0028727A">
        <w:t xml:space="preserve">os índices de preços de imóveis existentes no Brasil, </w:t>
      </w:r>
      <w:r w:rsidR="002C6DA1">
        <w:t xml:space="preserve">baseado numa visão dos reguladores do sistema financeiro </w:t>
      </w:r>
      <w:r w:rsidR="00A57792">
        <w:t xml:space="preserve">naquilo </w:t>
      </w:r>
      <w:r w:rsidR="005D50CD">
        <w:t xml:space="preserve">que </w:t>
      </w:r>
      <w:r w:rsidR="00D34B30">
        <w:t xml:space="preserve">os indicadores </w:t>
      </w:r>
      <w:r w:rsidR="005D50CD">
        <w:t xml:space="preserve">de preços do mercado imobiliário </w:t>
      </w:r>
      <w:r w:rsidR="00834E85">
        <w:t>po</w:t>
      </w:r>
      <w:r w:rsidR="00A57792">
        <w:t>ssam</w:t>
      </w:r>
      <w:r w:rsidR="00D34B30">
        <w:t xml:space="preserve"> contribuir para</w:t>
      </w:r>
      <w:r w:rsidR="00834E85">
        <w:t xml:space="preserve"> a elaboração de medidas de polí</w:t>
      </w:r>
      <w:r w:rsidR="00D34B30">
        <w:t>tica econômica e monetária destinada a prevenir, ou a reduzir</w:t>
      </w:r>
      <w:r w:rsidR="00834E85">
        <w:t>,</w:t>
      </w:r>
      <w:r w:rsidR="00D34B30">
        <w:t xml:space="preserve"> o</w:t>
      </w:r>
      <w:r w:rsidR="005D50CD">
        <w:t>s</w:t>
      </w:r>
      <w:r w:rsidR="00D34B30">
        <w:t xml:space="preserve"> efeitos </w:t>
      </w:r>
      <w:r w:rsidR="00834E85">
        <w:t>danosos ocasionados pela oscilação excessiva dos preços dos imóveis</w:t>
      </w:r>
      <w:r w:rsidR="002C6DA1">
        <w:t xml:space="preserve">. </w:t>
      </w:r>
    </w:p>
    <w:p w14:paraId="68F76190" w14:textId="26E8BF63" w:rsidR="00504A3E" w:rsidRDefault="0004168C" w:rsidP="00CD0FEF">
      <w:pPr>
        <w:ind w:firstLine="708"/>
      </w:pPr>
      <w:r>
        <w:t xml:space="preserve">Não podemos deixar de notar que esta reflexão </w:t>
      </w:r>
      <w:r w:rsidR="002C6DA1">
        <w:t>ocorre</w:t>
      </w:r>
      <w:r w:rsidR="00B360EA">
        <w:t xml:space="preserve"> num Brasil</w:t>
      </w:r>
      <w:r w:rsidR="002C6DA1">
        <w:t xml:space="preserve"> </w:t>
      </w:r>
      <w:r w:rsidR="00B360EA">
        <w:t>com um</w:t>
      </w:r>
      <w:r w:rsidR="002C6DA1">
        <w:t xml:space="preserve"> ambiente </w:t>
      </w:r>
      <w:r w:rsidR="006713EF">
        <w:t xml:space="preserve">econômico recessivo, e com </w:t>
      </w:r>
      <w:r>
        <w:t xml:space="preserve">fortes </w:t>
      </w:r>
      <w:r w:rsidR="006713EF">
        <w:t>indicações de queda nos</w:t>
      </w:r>
      <w:r w:rsidR="0028727A">
        <w:t xml:space="preserve"> </w:t>
      </w:r>
      <w:r w:rsidR="006713EF">
        <w:t>preço dos imóveis</w:t>
      </w:r>
      <w:r>
        <w:t xml:space="preserve">. </w:t>
      </w:r>
      <w:r w:rsidR="00B360EA">
        <w:t xml:space="preserve">Nosso objetivo </w:t>
      </w:r>
      <w:r w:rsidR="00C204F8">
        <w:t>é que</w:t>
      </w:r>
      <w:r>
        <w:t xml:space="preserve"> esta discussão possa </w:t>
      </w:r>
      <w:r w:rsidR="00B360EA">
        <w:t xml:space="preserve">contribuir para aprimorar o </w:t>
      </w:r>
      <w:r>
        <w:t xml:space="preserve">entendimento </w:t>
      </w:r>
      <w:r w:rsidR="00C204F8">
        <w:t xml:space="preserve">desses instrumentos de medição dos preços dos imóveis, </w:t>
      </w:r>
      <w:r w:rsidR="002D45E6">
        <w:t xml:space="preserve">aprimorar </w:t>
      </w:r>
      <w:r w:rsidR="00A97259">
        <w:t xml:space="preserve">sua interpretação, </w:t>
      </w:r>
      <w:r w:rsidR="00C204F8">
        <w:t>e</w:t>
      </w:r>
      <w:r w:rsidR="002B446F">
        <w:t xml:space="preserve"> quiçá</w:t>
      </w:r>
      <w:r w:rsidR="00C204F8">
        <w:t xml:space="preserve"> </w:t>
      </w:r>
      <w:r w:rsidR="002D45E6">
        <w:t xml:space="preserve">na </w:t>
      </w:r>
      <w:r w:rsidR="00C204F8">
        <w:t xml:space="preserve">eventual melhoria </w:t>
      </w:r>
      <w:r w:rsidR="002B446F">
        <w:t>d</w:t>
      </w:r>
      <w:r w:rsidR="00C204F8">
        <w:t xml:space="preserve">esses índices, ou </w:t>
      </w:r>
      <w:r w:rsidR="002B446F">
        <w:t xml:space="preserve">até mesmo </w:t>
      </w:r>
      <w:r w:rsidR="006B2495">
        <w:t>influenci</w:t>
      </w:r>
      <w:r w:rsidR="002D45E6">
        <w:t xml:space="preserve">ar </w:t>
      </w:r>
      <w:r w:rsidR="006B2495">
        <w:t xml:space="preserve">na </w:t>
      </w:r>
      <w:r w:rsidR="00C204F8">
        <w:t xml:space="preserve">criação de </w:t>
      </w:r>
      <w:r w:rsidR="006B2495">
        <w:t xml:space="preserve">novos </w:t>
      </w:r>
      <w:r w:rsidR="00C204F8">
        <w:t>índices</w:t>
      </w:r>
      <w:r w:rsidR="006B2495">
        <w:t>. A maior efic</w:t>
      </w:r>
      <w:r w:rsidR="00504A3E">
        <w:t>ácia das políticas econômica e monetária será consequência da melhor interpretação do significado desses índices.</w:t>
      </w:r>
    </w:p>
    <w:p w14:paraId="7566CCDE" w14:textId="77777777" w:rsidR="00504A3E" w:rsidRDefault="00504A3E" w:rsidP="00CD0FEF">
      <w:pPr>
        <w:ind w:firstLine="708"/>
      </w:pPr>
    </w:p>
    <w:p w14:paraId="03CE4EA6" w14:textId="77777777" w:rsidR="002C6DA1" w:rsidRDefault="00504A3E" w:rsidP="00CD0FEF">
      <w:pPr>
        <w:ind w:firstLine="708"/>
      </w:pPr>
      <w:r>
        <w:t xml:space="preserve"> </w:t>
      </w:r>
      <w:r w:rsidR="00C204F8">
        <w:t xml:space="preserve"> </w:t>
      </w:r>
      <w:r w:rsidR="006713EF">
        <w:t xml:space="preserve"> </w:t>
      </w:r>
    </w:p>
    <w:p w14:paraId="1CABDC4C" w14:textId="4FADD368" w:rsidR="002C6DA1" w:rsidRDefault="00B66A61" w:rsidP="002A225D">
      <w:pPr>
        <w:pStyle w:val="PargrafodaLista"/>
        <w:numPr>
          <w:ilvl w:val="0"/>
          <w:numId w:val="4"/>
        </w:numPr>
        <w:ind w:left="0" w:hanging="11"/>
        <w:outlineLvl w:val="0"/>
      </w:pPr>
      <w:bookmarkStart w:id="2" w:name="_Toc424741948"/>
      <w:r w:rsidRPr="001E2D5F">
        <w:rPr>
          <w:b/>
          <w:u w:val="single"/>
        </w:rPr>
        <w:t>METODOLOGIA</w:t>
      </w:r>
      <w:bookmarkEnd w:id="2"/>
    </w:p>
    <w:p w14:paraId="082F069C" w14:textId="77777777" w:rsidR="00771C3C" w:rsidRDefault="00771C3C" w:rsidP="00CD0FEF"/>
    <w:p w14:paraId="0F1D4E97" w14:textId="37ED0977" w:rsidR="00910DB3" w:rsidRDefault="00771C3C" w:rsidP="00CD0FEF">
      <w:pPr>
        <w:ind w:firstLine="708"/>
      </w:pPr>
      <w:r>
        <w:t xml:space="preserve">O presente texto </w:t>
      </w:r>
      <w:r w:rsidR="00140B44">
        <w:t xml:space="preserve">está dividido em três </w:t>
      </w:r>
      <w:r w:rsidR="00CD0FEF">
        <w:t>partes</w:t>
      </w:r>
      <w:r w:rsidR="00140B44">
        <w:t>.</w:t>
      </w:r>
    </w:p>
    <w:p w14:paraId="725CA801" w14:textId="5D6BC952" w:rsidR="00771C3C" w:rsidRDefault="00CD0FEF" w:rsidP="00CD0FEF">
      <w:pPr>
        <w:ind w:firstLine="708"/>
      </w:pPr>
      <w:r>
        <w:t xml:space="preserve">Na primeira </w:t>
      </w:r>
      <w:r w:rsidR="00292DF2">
        <w:t xml:space="preserve">é feita </w:t>
      </w:r>
      <w:r w:rsidR="00771C3C">
        <w:t>uma revisão d</w:t>
      </w:r>
      <w:r w:rsidR="00A57792">
        <w:t>a</w:t>
      </w:r>
      <w:r w:rsidR="009E7D08">
        <w:t>s principais questões segundo sua apresentação no</w:t>
      </w:r>
      <w:r w:rsidR="00227041">
        <w:t>s</w:t>
      </w:r>
      <w:r w:rsidR="009E7D08">
        <w:t xml:space="preserve"> </w:t>
      </w:r>
      <w:r w:rsidR="00AD2A67">
        <w:t>WP 21</w:t>
      </w:r>
      <w:r w:rsidR="009E7D08">
        <w:t xml:space="preserve">. </w:t>
      </w:r>
      <w:r w:rsidR="007B31A2">
        <w:t xml:space="preserve">Entre as questões abordadas </w:t>
      </w:r>
      <w:r w:rsidR="007B31A2" w:rsidRPr="00140B44">
        <w:t>estão</w:t>
      </w:r>
      <w:r w:rsidR="00227041">
        <w:t>:</w:t>
      </w:r>
      <w:r w:rsidR="007B31A2" w:rsidRPr="00140B44">
        <w:t xml:space="preserve"> a i</w:t>
      </w:r>
      <w:r w:rsidR="009E7D08" w:rsidRPr="00140B44">
        <w:t>mportância d</w:t>
      </w:r>
      <w:r w:rsidR="007B31A2" w:rsidRPr="00140B44">
        <w:t>os</w:t>
      </w:r>
      <w:r w:rsidR="009E7D08" w:rsidRPr="00140B44">
        <w:t xml:space="preserve"> índice</w:t>
      </w:r>
      <w:r w:rsidR="007B31A2" w:rsidRPr="00140B44">
        <w:t>s</w:t>
      </w:r>
      <w:r w:rsidR="009E7D08" w:rsidRPr="00140B44">
        <w:t xml:space="preserve"> de preços de imóveis, </w:t>
      </w:r>
      <w:r w:rsidR="00623BC8" w:rsidRPr="00140B44">
        <w:t xml:space="preserve">as relações entre a oscilação dos preços dos imóveis e as crises econômicas, </w:t>
      </w:r>
      <w:r w:rsidR="00186004" w:rsidRPr="00140B44">
        <w:t>a importância do monitoramento d</w:t>
      </w:r>
      <w:r w:rsidR="00227041">
        <w:t>esses</w:t>
      </w:r>
      <w:r w:rsidR="00186004" w:rsidRPr="00140B44">
        <w:t xml:space="preserve"> preços para as </w:t>
      </w:r>
      <w:r w:rsidR="00227041">
        <w:t>políticas econômica e monetária;</w:t>
      </w:r>
      <w:r w:rsidR="009E7D08" w:rsidRPr="00140B44">
        <w:t xml:space="preserve"> e </w:t>
      </w:r>
      <w:r w:rsidR="00682A3E" w:rsidRPr="00140B44">
        <w:t xml:space="preserve">finalmente </w:t>
      </w:r>
      <w:r w:rsidR="009E7D08" w:rsidRPr="00140B44">
        <w:t>as questões relativas</w:t>
      </w:r>
      <w:r w:rsidR="00292DF2">
        <w:t xml:space="preserve"> à interpretação dos</w:t>
      </w:r>
      <w:r w:rsidR="00876608">
        <w:t xml:space="preserve"> índices</w:t>
      </w:r>
      <w:r w:rsidR="00292DF2">
        <w:t xml:space="preserve">. </w:t>
      </w:r>
      <w:r w:rsidR="001374C4">
        <w:t>É i</w:t>
      </w:r>
      <w:r w:rsidR="00292DF2">
        <w:t xml:space="preserve">mportante </w:t>
      </w:r>
      <w:r w:rsidR="00835DE9">
        <w:t>ressaltar</w:t>
      </w:r>
      <w:r w:rsidR="0078250B">
        <w:t>mos</w:t>
      </w:r>
      <w:r w:rsidR="00835DE9">
        <w:t xml:space="preserve"> </w:t>
      </w:r>
      <w:r w:rsidR="00292DF2">
        <w:t xml:space="preserve">que </w:t>
      </w:r>
      <w:r w:rsidR="00835DE9">
        <w:t xml:space="preserve">este texto não </w:t>
      </w:r>
      <w:r w:rsidR="00292DF2">
        <w:t xml:space="preserve">se </w:t>
      </w:r>
      <w:r w:rsidR="00835DE9">
        <w:t>pretende um resumo daquele documento</w:t>
      </w:r>
      <w:r w:rsidR="00292DF2">
        <w:t>,</w:t>
      </w:r>
      <w:r w:rsidR="00835DE9">
        <w:t xml:space="preserve"> </w:t>
      </w:r>
      <w:r w:rsidR="007177AA">
        <w:t xml:space="preserve">extenso e rico em informações e análises, </w:t>
      </w:r>
      <w:r w:rsidR="00835DE9">
        <w:t>senão</w:t>
      </w:r>
      <w:r w:rsidR="00227549">
        <w:t xml:space="preserve"> valer-se dos </w:t>
      </w:r>
      <w:r w:rsidR="007177AA">
        <w:t>pontos considerados mais relevantes</w:t>
      </w:r>
      <w:r w:rsidR="00227549">
        <w:t xml:space="preserve"> </w:t>
      </w:r>
      <w:r w:rsidR="007177AA">
        <w:t xml:space="preserve">para </w:t>
      </w:r>
      <w:r w:rsidR="008566D1">
        <w:t xml:space="preserve">os propósitos </w:t>
      </w:r>
      <w:r w:rsidR="0078250B">
        <w:t>aqui apresentados.</w:t>
      </w:r>
    </w:p>
    <w:p w14:paraId="67A6348F" w14:textId="132AF267" w:rsidR="00CB30E5" w:rsidRDefault="00910DB3" w:rsidP="00CD0FEF">
      <w:pPr>
        <w:ind w:firstLine="708"/>
        <w:rPr>
          <w:szCs w:val="24"/>
        </w:rPr>
      </w:pPr>
      <w:r>
        <w:rPr>
          <w:szCs w:val="24"/>
        </w:rPr>
        <w:t>Em segundo lugar</w:t>
      </w:r>
      <w:r w:rsidR="00FC159F">
        <w:rPr>
          <w:szCs w:val="24"/>
        </w:rPr>
        <w:t>,</w:t>
      </w:r>
      <w:r>
        <w:rPr>
          <w:szCs w:val="24"/>
        </w:rPr>
        <w:t xml:space="preserve"> </w:t>
      </w:r>
      <w:r w:rsidR="00167AE5">
        <w:rPr>
          <w:szCs w:val="24"/>
        </w:rPr>
        <w:t>procederemos à</w:t>
      </w:r>
      <w:r>
        <w:rPr>
          <w:szCs w:val="24"/>
        </w:rPr>
        <w:t xml:space="preserve"> apresentação dos índices de preços de imóveis existentes no Brasil, e uma análise d</w:t>
      </w:r>
      <w:r w:rsidR="00167AE5">
        <w:rPr>
          <w:szCs w:val="24"/>
        </w:rPr>
        <w:t xml:space="preserve">as </w:t>
      </w:r>
      <w:r w:rsidR="001F4898">
        <w:rPr>
          <w:szCs w:val="24"/>
        </w:rPr>
        <w:t xml:space="preserve">metodologias adotadas </w:t>
      </w:r>
      <w:r w:rsidR="00167AE5">
        <w:rPr>
          <w:szCs w:val="24"/>
        </w:rPr>
        <w:t>em sua elaboraç</w:t>
      </w:r>
      <w:r w:rsidR="00682A3E">
        <w:rPr>
          <w:szCs w:val="24"/>
        </w:rPr>
        <w:t xml:space="preserve">ão </w:t>
      </w:r>
      <w:r w:rsidR="006B35D9">
        <w:rPr>
          <w:szCs w:val="24"/>
        </w:rPr>
        <w:t xml:space="preserve">tomando </w:t>
      </w:r>
      <w:r w:rsidR="001F4898">
        <w:rPr>
          <w:szCs w:val="24"/>
        </w:rPr>
        <w:t xml:space="preserve">como </w:t>
      </w:r>
      <w:r w:rsidR="006B35D9">
        <w:rPr>
          <w:szCs w:val="24"/>
        </w:rPr>
        <w:t xml:space="preserve">referência principal os materiais apresentados </w:t>
      </w:r>
      <w:r w:rsidR="00A0505E">
        <w:rPr>
          <w:szCs w:val="24"/>
        </w:rPr>
        <w:t>no</w:t>
      </w:r>
      <w:r w:rsidR="0078250B">
        <w:rPr>
          <w:szCs w:val="24"/>
        </w:rPr>
        <w:t xml:space="preserve"> texto referido pelo </w:t>
      </w:r>
      <w:r w:rsidR="006B35D9">
        <w:rPr>
          <w:szCs w:val="24"/>
        </w:rPr>
        <w:t>parágrafo acima.</w:t>
      </w:r>
      <w:r w:rsidR="00682A3E">
        <w:rPr>
          <w:szCs w:val="24"/>
        </w:rPr>
        <w:t xml:space="preserve"> </w:t>
      </w:r>
      <w:r>
        <w:rPr>
          <w:szCs w:val="24"/>
        </w:rPr>
        <w:t xml:space="preserve"> </w:t>
      </w:r>
    </w:p>
    <w:p w14:paraId="6E3B3813" w14:textId="1DAD69FB" w:rsidR="00C777CA" w:rsidRDefault="001862BE" w:rsidP="00CD0FEF">
      <w:pPr>
        <w:rPr>
          <w:szCs w:val="24"/>
        </w:rPr>
      </w:pPr>
      <w:r>
        <w:rPr>
          <w:szCs w:val="24"/>
        </w:rPr>
        <w:tab/>
        <w:t>Por último</w:t>
      </w:r>
      <w:r w:rsidR="00FC159F">
        <w:rPr>
          <w:szCs w:val="24"/>
        </w:rPr>
        <w:t>,</w:t>
      </w:r>
      <w:r>
        <w:rPr>
          <w:szCs w:val="24"/>
        </w:rPr>
        <w:t xml:space="preserve"> </w:t>
      </w:r>
      <w:r w:rsidR="0078250B">
        <w:rPr>
          <w:szCs w:val="24"/>
        </w:rPr>
        <w:t>faremos</w:t>
      </w:r>
      <w:r>
        <w:rPr>
          <w:szCs w:val="24"/>
        </w:rPr>
        <w:t xml:space="preserve"> uma comparação do</w:t>
      </w:r>
      <w:r w:rsidR="00DB576F">
        <w:rPr>
          <w:szCs w:val="24"/>
        </w:rPr>
        <w:t xml:space="preserve"> comportamento </w:t>
      </w:r>
      <w:r w:rsidR="00876608">
        <w:rPr>
          <w:szCs w:val="24"/>
        </w:rPr>
        <w:t xml:space="preserve">recente </w:t>
      </w:r>
      <w:r w:rsidR="00DB576F">
        <w:rPr>
          <w:szCs w:val="24"/>
        </w:rPr>
        <w:t>dos</w:t>
      </w:r>
      <w:r>
        <w:rPr>
          <w:szCs w:val="24"/>
        </w:rPr>
        <w:t xml:space="preserve"> dois índices de preços mais importantes existentes</w:t>
      </w:r>
      <w:r w:rsidR="00A6155C">
        <w:rPr>
          <w:szCs w:val="24"/>
        </w:rPr>
        <w:t>,</w:t>
      </w:r>
      <w:r w:rsidR="00876608">
        <w:rPr>
          <w:szCs w:val="24"/>
        </w:rPr>
        <w:t xml:space="preserve"> o Fipe-ZAP e o IVG-C do BCB</w:t>
      </w:r>
      <w:r>
        <w:rPr>
          <w:szCs w:val="24"/>
        </w:rPr>
        <w:t>, onde s</w:t>
      </w:r>
      <w:r w:rsidR="00A6155C">
        <w:rPr>
          <w:szCs w:val="24"/>
        </w:rPr>
        <w:t>er</w:t>
      </w:r>
      <w:r w:rsidR="00E40F9D">
        <w:rPr>
          <w:szCs w:val="24"/>
        </w:rPr>
        <w:t xml:space="preserve">ão apresentadas hipóteses sobre </w:t>
      </w:r>
      <w:r w:rsidR="00EC3BAC">
        <w:rPr>
          <w:szCs w:val="24"/>
        </w:rPr>
        <w:t>os resultados d</w:t>
      </w:r>
      <w:r w:rsidR="00E40F9D">
        <w:rPr>
          <w:szCs w:val="24"/>
        </w:rPr>
        <w:t>essa comparação. Ao final</w:t>
      </w:r>
      <w:r w:rsidR="00A6155C">
        <w:rPr>
          <w:szCs w:val="24"/>
        </w:rPr>
        <w:t xml:space="preserve"> apresentaremos nossas </w:t>
      </w:r>
      <w:r w:rsidR="00E40F9D">
        <w:rPr>
          <w:szCs w:val="24"/>
        </w:rPr>
        <w:t>conclusões.</w:t>
      </w:r>
    </w:p>
    <w:p w14:paraId="546FE6B1" w14:textId="35B27B3D" w:rsidR="000D2AE5" w:rsidRDefault="00625124" w:rsidP="00CD0FEF">
      <w:pPr>
        <w:rPr>
          <w:szCs w:val="24"/>
        </w:rPr>
      </w:pPr>
      <w:r>
        <w:rPr>
          <w:szCs w:val="24"/>
        </w:rPr>
        <w:tab/>
        <w:t>Neste te</w:t>
      </w:r>
      <w:r w:rsidR="00C122D0">
        <w:rPr>
          <w:szCs w:val="24"/>
        </w:rPr>
        <w:t>x</w:t>
      </w:r>
      <w:r w:rsidR="002162CC">
        <w:rPr>
          <w:szCs w:val="24"/>
        </w:rPr>
        <w:t>to</w:t>
      </w:r>
      <w:r w:rsidR="00FC159F">
        <w:rPr>
          <w:szCs w:val="24"/>
        </w:rPr>
        <w:t>,</w:t>
      </w:r>
      <w:r w:rsidR="002162CC">
        <w:rPr>
          <w:szCs w:val="24"/>
        </w:rPr>
        <w:t xml:space="preserve"> toda </w:t>
      </w:r>
      <w:r>
        <w:rPr>
          <w:szCs w:val="24"/>
        </w:rPr>
        <w:t>vez que nos referirmos a imóveis, estamos nos referindo a im</w:t>
      </w:r>
      <w:r w:rsidR="000626BA">
        <w:rPr>
          <w:szCs w:val="24"/>
        </w:rPr>
        <w:t xml:space="preserve">óveis residenciais. </w:t>
      </w:r>
      <w:r w:rsidR="000C5912">
        <w:rPr>
          <w:szCs w:val="24"/>
        </w:rPr>
        <w:t xml:space="preserve">Na literatura, e na prática, a evolução dos preços desses imóveis é o foco </w:t>
      </w:r>
      <w:r w:rsidR="00BF4B17">
        <w:rPr>
          <w:szCs w:val="24"/>
        </w:rPr>
        <w:t xml:space="preserve">principal </w:t>
      </w:r>
      <w:r w:rsidR="000C5912">
        <w:rPr>
          <w:szCs w:val="24"/>
        </w:rPr>
        <w:t>das preocupações d</w:t>
      </w:r>
      <w:r w:rsidR="00BF4B17">
        <w:rPr>
          <w:szCs w:val="24"/>
        </w:rPr>
        <w:t xml:space="preserve">as </w:t>
      </w:r>
      <w:r w:rsidR="00B30512">
        <w:rPr>
          <w:szCs w:val="24"/>
        </w:rPr>
        <w:t xml:space="preserve">autoridades </w:t>
      </w:r>
      <w:r w:rsidR="00BF4B17">
        <w:rPr>
          <w:szCs w:val="24"/>
        </w:rPr>
        <w:t>econômica</w:t>
      </w:r>
      <w:r w:rsidR="00B30512">
        <w:rPr>
          <w:szCs w:val="24"/>
        </w:rPr>
        <w:t>s</w:t>
      </w:r>
      <w:r w:rsidR="00BF4B17">
        <w:rPr>
          <w:szCs w:val="24"/>
        </w:rPr>
        <w:t xml:space="preserve"> e monetária</w:t>
      </w:r>
      <w:r w:rsidR="00B30512">
        <w:rPr>
          <w:szCs w:val="24"/>
        </w:rPr>
        <w:t>s</w:t>
      </w:r>
      <w:r w:rsidR="00BF4B17">
        <w:rPr>
          <w:szCs w:val="24"/>
        </w:rPr>
        <w:t>.</w:t>
      </w:r>
      <w:r w:rsidR="002902A1">
        <w:rPr>
          <w:szCs w:val="24"/>
        </w:rPr>
        <w:t xml:space="preserve"> </w:t>
      </w:r>
      <w:r w:rsidR="00073F1C">
        <w:rPr>
          <w:szCs w:val="24"/>
        </w:rPr>
        <w:t xml:space="preserve">As propriedades não residenciais têm </w:t>
      </w:r>
      <w:r w:rsidR="0042767D">
        <w:rPr>
          <w:szCs w:val="24"/>
        </w:rPr>
        <w:t xml:space="preserve">formas diferentes, e </w:t>
      </w:r>
      <w:r w:rsidR="00073F1C">
        <w:rPr>
          <w:szCs w:val="24"/>
        </w:rPr>
        <w:t xml:space="preserve">ciclos diferentes de evolução dos preços, já que são itens </w:t>
      </w:r>
      <w:r w:rsidR="0042767D">
        <w:rPr>
          <w:szCs w:val="24"/>
        </w:rPr>
        <w:t>relacionados ao processo de produção</w:t>
      </w:r>
      <w:r w:rsidR="00073F1C">
        <w:rPr>
          <w:szCs w:val="24"/>
        </w:rPr>
        <w:t xml:space="preserve">, e as motivações para sua aquisição ou venda, </w:t>
      </w:r>
      <w:r w:rsidR="0042767D">
        <w:rPr>
          <w:szCs w:val="24"/>
        </w:rPr>
        <w:t xml:space="preserve">são como </w:t>
      </w:r>
      <w:r w:rsidR="00073F1C">
        <w:rPr>
          <w:szCs w:val="24"/>
        </w:rPr>
        <w:t>fator de produção</w:t>
      </w:r>
      <w:r w:rsidR="00E30287">
        <w:rPr>
          <w:szCs w:val="24"/>
        </w:rPr>
        <w:t xml:space="preserve">. </w:t>
      </w:r>
      <w:r w:rsidR="00F15576">
        <w:rPr>
          <w:szCs w:val="24"/>
        </w:rPr>
        <w:t xml:space="preserve">Os </w:t>
      </w:r>
      <w:r w:rsidR="00073F1C">
        <w:rPr>
          <w:szCs w:val="24"/>
        </w:rPr>
        <w:t>imóveis residenciais</w:t>
      </w:r>
      <w:r w:rsidR="00E30287">
        <w:rPr>
          <w:szCs w:val="24"/>
        </w:rPr>
        <w:t xml:space="preserve"> estão </w:t>
      </w:r>
      <w:r w:rsidR="00073F1C">
        <w:rPr>
          <w:szCs w:val="24"/>
        </w:rPr>
        <w:t xml:space="preserve">muito mais ligados </w:t>
      </w:r>
      <w:r w:rsidR="00673294">
        <w:rPr>
          <w:szCs w:val="24"/>
        </w:rPr>
        <w:t>às</w:t>
      </w:r>
      <w:r w:rsidR="00376857">
        <w:rPr>
          <w:szCs w:val="24"/>
        </w:rPr>
        <w:t xml:space="preserve"> asp</w:t>
      </w:r>
      <w:r w:rsidR="00073F1C">
        <w:rPr>
          <w:szCs w:val="24"/>
        </w:rPr>
        <w:t>irações</w:t>
      </w:r>
      <w:r w:rsidR="00376857">
        <w:rPr>
          <w:szCs w:val="24"/>
        </w:rPr>
        <w:t xml:space="preserve"> mais íntimas</w:t>
      </w:r>
      <w:r w:rsidR="00E30287">
        <w:rPr>
          <w:szCs w:val="24"/>
        </w:rPr>
        <w:t xml:space="preserve"> das pessoas</w:t>
      </w:r>
      <w:r w:rsidR="00376857">
        <w:rPr>
          <w:szCs w:val="24"/>
        </w:rPr>
        <w:t>, e seu uso</w:t>
      </w:r>
      <w:r w:rsidR="00E30287">
        <w:rPr>
          <w:szCs w:val="24"/>
        </w:rPr>
        <w:t xml:space="preserve"> e finalidade são </w:t>
      </w:r>
      <w:r w:rsidR="00376857">
        <w:rPr>
          <w:szCs w:val="24"/>
        </w:rPr>
        <w:t>de natureza inteiramente diversa</w:t>
      </w:r>
      <w:r w:rsidR="00C62458">
        <w:rPr>
          <w:szCs w:val="24"/>
        </w:rPr>
        <w:t xml:space="preserve"> dos imóveis não residenciais. Além</w:t>
      </w:r>
      <w:bookmarkStart w:id="3" w:name="_GoBack"/>
      <w:bookmarkEnd w:id="3"/>
      <w:r w:rsidR="00C62458">
        <w:rPr>
          <w:szCs w:val="24"/>
        </w:rPr>
        <w:t xml:space="preserve"> disso, e sobremaneira importante para o presente estudo, </w:t>
      </w:r>
      <w:r w:rsidR="003603AB">
        <w:rPr>
          <w:szCs w:val="24"/>
        </w:rPr>
        <w:t xml:space="preserve">as residências </w:t>
      </w:r>
      <w:r w:rsidR="00C62458">
        <w:rPr>
          <w:szCs w:val="24"/>
        </w:rPr>
        <w:t xml:space="preserve">são o tipo de imóvel que constitui o </w:t>
      </w:r>
      <w:r w:rsidR="00D63869">
        <w:rPr>
          <w:szCs w:val="24"/>
        </w:rPr>
        <w:t xml:space="preserve">peso principal </w:t>
      </w:r>
      <w:r w:rsidR="00EC3BAC">
        <w:rPr>
          <w:szCs w:val="24"/>
        </w:rPr>
        <w:t xml:space="preserve">dos ativos imobiliários </w:t>
      </w:r>
      <w:r w:rsidR="00D63869">
        <w:rPr>
          <w:szCs w:val="24"/>
        </w:rPr>
        <w:t xml:space="preserve">nos </w:t>
      </w:r>
      <w:r w:rsidR="00EC3BAC">
        <w:rPr>
          <w:szCs w:val="24"/>
        </w:rPr>
        <w:t xml:space="preserve">livros </w:t>
      </w:r>
      <w:r w:rsidR="00D63869">
        <w:rPr>
          <w:szCs w:val="24"/>
        </w:rPr>
        <w:t>dos bancos.</w:t>
      </w:r>
      <w:r w:rsidR="000C5912">
        <w:rPr>
          <w:szCs w:val="24"/>
        </w:rPr>
        <w:t xml:space="preserve"> </w:t>
      </w:r>
    </w:p>
    <w:p w14:paraId="571B00C7" w14:textId="77777777" w:rsidR="000D2AE5" w:rsidRDefault="000D2AE5" w:rsidP="00CD0FEF">
      <w:pPr>
        <w:rPr>
          <w:szCs w:val="24"/>
        </w:rPr>
      </w:pPr>
    </w:p>
    <w:p w14:paraId="41F9BDF7" w14:textId="454BCF26" w:rsidR="000D2AE5" w:rsidRPr="002A225D" w:rsidRDefault="000D2AE5" w:rsidP="002A225D">
      <w:pPr>
        <w:pStyle w:val="PargrafodaLista"/>
        <w:numPr>
          <w:ilvl w:val="0"/>
          <w:numId w:val="4"/>
        </w:numPr>
        <w:ind w:left="0" w:hanging="11"/>
        <w:outlineLvl w:val="0"/>
        <w:rPr>
          <w:b/>
          <w:szCs w:val="24"/>
          <w:u w:val="single"/>
        </w:rPr>
      </w:pPr>
      <w:bookmarkStart w:id="4" w:name="_Toc424741949"/>
      <w:r w:rsidRPr="002A225D">
        <w:rPr>
          <w:b/>
          <w:szCs w:val="24"/>
          <w:u w:val="single"/>
        </w:rPr>
        <w:t>DISCUSSÃO</w:t>
      </w:r>
      <w:bookmarkEnd w:id="4"/>
    </w:p>
    <w:p w14:paraId="47773CAD" w14:textId="21CABF9F" w:rsidR="001B260E" w:rsidRDefault="00DB576F" w:rsidP="00CD0FEF">
      <w:pPr>
        <w:autoSpaceDE w:val="0"/>
        <w:autoSpaceDN w:val="0"/>
        <w:adjustRightInd w:val="0"/>
        <w:ind w:firstLine="708"/>
        <w:rPr>
          <w:szCs w:val="24"/>
        </w:rPr>
      </w:pPr>
      <w:r>
        <w:rPr>
          <w:szCs w:val="24"/>
        </w:rPr>
        <w:t xml:space="preserve">A ligação </w:t>
      </w:r>
      <w:r w:rsidR="000F04C3">
        <w:rPr>
          <w:szCs w:val="24"/>
        </w:rPr>
        <w:t xml:space="preserve">entre </w:t>
      </w:r>
      <w:r>
        <w:rPr>
          <w:szCs w:val="24"/>
        </w:rPr>
        <w:t>as crises econômicas</w:t>
      </w:r>
      <w:r w:rsidR="00C1330F">
        <w:rPr>
          <w:szCs w:val="24"/>
        </w:rPr>
        <w:t xml:space="preserve">, </w:t>
      </w:r>
      <w:r w:rsidR="000F04C3">
        <w:rPr>
          <w:szCs w:val="24"/>
        </w:rPr>
        <w:t>e</w:t>
      </w:r>
      <w:r>
        <w:rPr>
          <w:szCs w:val="24"/>
        </w:rPr>
        <w:t xml:space="preserve"> </w:t>
      </w:r>
      <w:r w:rsidR="00C1330F">
        <w:rPr>
          <w:szCs w:val="24"/>
        </w:rPr>
        <w:t>a sequência de subida</w:t>
      </w:r>
      <w:r>
        <w:rPr>
          <w:szCs w:val="24"/>
        </w:rPr>
        <w:t xml:space="preserve"> e queda</w:t>
      </w:r>
      <w:r w:rsidR="00734F42">
        <w:rPr>
          <w:szCs w:val="24"/>
        </w:rPr>
        <w:t xml:space="preserve"> abrupta</w:t>
      </w:r>
      <w:r>
        <w:rPr>
          <w:szCs w:val="24"/>
        </w:rPr>
        <w:t xml:space="preserve"> dos</w:t>
      </w:r>
      <w:r w:rsidR="000F04C3">
        <w:rPr>
          <w:szCs w:val="24"/>
        </w:rPr>
        <w:t xml:space="preserve"> </w:t>
      </w:r>
      <w:r>
        <w:rPr>
          <w:szCs w:val="24"/>
        </w:rPr>
        <w:t>preços dos imóveis</w:t>
      </w:r>
      <w:r w:rsidR="00C13A14">
        <w:rPr>
          <w:szCs w:val="24"/>
        </w:rPr>
        <w:t xml:space="preserve">, ou </w:t>
      </w:r>
      <w:r w:rsidR="00093742">
        <w:rPr>
          <w:szCs w:val="24"/>
        </w:rPr>
        <w:t xml:space="preserve">bolhas, </w:t>
      </w:r>
      <w:r w:rsidR="00E86C01">
        <w:rPr>
          <w:szCs w:val="24"/>
        </w:rPr>
        <w:t xml:space="preserve">e influência </w:t>
      </w:r>
      <w:r w:rsidR="00C1330F">
        <w:rPr>
          <w:szCs w:val="24"/>
        </w:rPr>
        <w:t xml:space="preserve">dessas oscilações </w:t>
      </w:r>
      <w:r w:rsidR="00E86C01">
        <w:rPr>
          <w:szCs w:val="24"/>
        </w:rPr>
        <w:t xml:space="preserve">sobre o sistema financeiro, </w:t>
      </w:r>
      <w:r w:rsidR="000F04C3">
        <w:rPr>
          <w:szCs w:val="24"/>
        </w:rPr>
        <w:t xml:space="preserve">é </w:t>
      </w:r>
      <w:r w:rsidR="009E3FEA">
        <w:rPr>
          <w:szCs w:val="24"/>
        </w:rPr>
        <w:t xml:space="preserve">talvez o fundamento principal para o estudo do tema, </w:t>
      </w:r>
      <w:r w:rsidR="00F9655D">
        <w:rPr>
          <w:szCs w:val="24"/>
        </w:rPr>
        <w:t xml:space="preserve">conforme consta </w:t>
      </w:r>
      <w:r w:rsidR="000F04C3">
        <w:rPr>
          <w:szCs w:val="24"/>
        </w:rPr>
        <w:t xml:space="preserve">na abertura do </w:t>
      </w:r>
      <w:r w:rsidR="009E3FEA">
        <w:rPr>
          <w:szCs w:val="24"/>
        </w:rPr>
        <w:t xml:space="preserve">BIS </w:t>
      </w:r>
      <w:proofErr w:type="spellStart"/>
      <w:r w:rsidR="00F9655D" w:rsidRPr="00E156E2">
        <w:rPr>
          <w:szCs w:val="24"/>
        </w:rPr>
        <w:t>Wo</w:t>
      </w:r>
      <w:r w:rsidR="000F04C3" w:rsidRPr="00E156E2">
        <w:rPr>
          <w:szCs w:val="24"/>
        </w:rPr>
        <w:t>rking</w:t>
      </w:r>
      <w:proofErr w:type="spellEnd"/>
      <w:r w:rsidR="000F04C3" w:rsidRPr="00E156E2">
        <w:rPr>
          <w:szCs w:val="24"/>
        </w:rPr>
        <w:t xml:space="preserve"> </w:t>
      </w:r>
      <w:proofErr w:type="spellStart"/>
      <w:r w:rsidR="00F9655D" w:rsidRPr="00E156E2">
        <w:rPr>
          <w:szCs w:val="24"/>
        </w:rPr>
        <w:t>P</w:t>
      </w:r>
      <w:r w:rsidR="000F04C3" w:rsidRPr="00E156E2">
        <w:rPr>
          <w:szCs w:val="24"/>
        </w:rPr>
        <w:t>aper</w:t>
      </w:r>
      <w:proofErr w:type="spellEnd"/>
      <w:r w:rsidR="000F04C3">
        <w:rPr>
          <w:szCs w:val="24"/>
        </w:rPr>
        <w:t xml:space="preserve"> 21</w:t>
      </w:r>
      <w:r w:rsidR="00FC6D96">
        <w:rPr>
          <w:szCs w:val="24"/>
        </w:rPr>
        <w:t xml:space="preserve">, cujo título, não por acaso, é </w:t>
      </w:r>
      <w:r w:rsidR="00CE163E" w:rsidRPr="00CE163E">
        <w:rPr>
          <w:i/>
          <w:szCs w:val="24"/>
        </w:rPr>
        <w:t xml:space="preserve">“Real </w:t>
      </w:r>
      <w:proofErr w:type="spellStart"/>
      <w:r w:rsidR="00CE163E" w:rsidRPr="00CE163E">
        <w:rPr>
          <w:i/>
          <w:szCs w:val="24"/>
        </w:rPr>
        <w:t>Estate</w:t>
      </w:r>
      <w:proofErr w:type="spellEnd"/>
      <w:r w:rsidR="00CE163E" w:rsidRPr="00CE163E">
        <w:rPr>
          <w:i/>
          <w:szCs w:val="24"/>
        </w:rPr>
        <w:t xml:space="preserve"> </w:t>
      </w:r>
      <w:proofErr w:type="spellStart"/>
      <w:r w:rsidR="00CE163E" w:rsidRPr="00CE163E">
        <w:rPr>
          <w:i/>
          <w:szCs w:val="24"/>
        </w:rPr>
        <w:t>Indicators</w:t>
      </w:r>
      <w:proofErr w:type="spellEnd"/>
      <w:r w:rsidR="00CE163E" w:rsidRPr="00CE163E">
        <w:rPr>
          <w:i/>
          <w:szCs w:val="24"/>
        </w:rPr>
        <w:t xml:space="preserve"> </w:t>
      </w:r>
      <w:proofErr w:type="spellStart"/>
      <w:r w:rsidR="00CE163E" w:rsidRPr="00CE163E">
        <w:rPr>
          <w:i/>
          <w:szCs w:val="24"/>
        </w:rPr>
        <w:t>and</w:t>
      </w:r>
      <w:proofErr w:type="spellEnd"/>
      <w:r w:rsidR="00CE163E" w:rsidRPr="00CE163E">
        <w:rPr>
          <w:i/>
          <w:szCs w:val="24"/>
        </w:rPr>
        <w:t xml:space="preserve"> Financial </w:t>
      </w:r>
      <w:proofErr w:type="spellStart"/>
      <w:r w:rsidR="00CE163E" w:rsidRPr="00CE163E">
        <w:rPr>
          <w:i/>
          <w:szCs w:val="24"/>
        </w:rPr>
        <w:t>Stability</w:t>
      </w:r>
      <w:proofErr w:type="spellEnd"/>
      <w:r w:rsidR="00CE163E">
        <w:rPr>
          <w:i/>
          <w:szCs w:val="24"/>
        </w:rPr>
        <w:t>”</w:t>
      </w:r>
      <w:r w:rsidR="00CE163E">
        <w:rPr>
          <w:szCs w:val="24"/>
        </w:rPr>
        <w:t xml:space="preserve"> </w:t>
      </w:r>
      <w:r w:rsidR="00FC6D96">
        <w:rPr>
          <w:szCs w:val="24"/>
        </w:rPr>
        <w:t>(Indicadores do Mercado Imobiliário e Estabilidade Financeira)</w:t>
      </w:r>
      <w:r w:rsidR="00093742">
        <w:rPr>
          <w:szCs w:val="24"/>
        </w:rPr>
        <w:t xml:space="preserve">. </w:t>
      </w:r>
      <w:r w:rsidR="00CE163E">
        <w:rPr>
          <w:szCs w:val="24"/>
        </w:rPr>
        <w:t xml:space="preserve">Estabelecida a </w:t>
      </w:r>
      <w:r w:rsidR="00BA1E4E">
        <w:rPr>
          <w:szCs w:val="24"/>
        </w:rPr>
        <w:t>relaç</w:t>
      </w:r>
      <w:r w:rsidR="00E156E2">
        <w:rPr>
          <w:szCs w:val="24"/>
        </w:rPr>
        <w:t xml:space="preserve">ão entre o comportamento </w:t>
      </w:r>
      <w:r w:rsidR="00BA1E4E">
        <w:rPr>
          <w:szCs w:val="24"/>
        </w:rPr>
        <w:t xml:space="preserve">das crises e os preços dos imóveis, o foco desse WP </w:t>
      </w:r>
      <w:r w:rsidR="00E156E2">
        <w:rPr>
          <w:szCs w:val="24"/>
        </w:rPr>
        <w:t xml:space="preserve">é </w:t>
      </w:r>
      <w:r w:rsidR="001B260E">
        <w:rPr>
          <w:szCs w:val="24"/>
        </w:rPr>
        <w:t>o entendimento dos Í</w:t>
      </w:r>
      <w:r w:rsidR="00E156E2">
        <w:rPr>
          <w:szCs w:val="24"/>
        </w:rPr>
        <w:t xml:space="preserve">ndice de </w:t>
      </w:r>
      <w:r w:rsidR="001B260E">
        <w:rPr>
          <w:szCs w:val="24"/>
        </w:rPr>
        <w:t>P</w:t>
      </w:r>
      <w:r w:rsidR="00E156E2">
        <w:rPr>
          <w:szCs w:val="24"/>
        </w:rPr>
        <w:t>reços dos Imóveis com</w:t>
      </w:r>
      <w:r w:rsidR="001B260E">
        <w:rPr>
          <w:szCs w:val="24"/>
        </w:rPr>
        <w:t>o</w:t>
      </w:r>
      <w:r w:rsidR="00E156E2">
        <w:rPr>
          <w:szCs w:val="24"/>
        </w:rPr>
        <w:t xml:space="preserve"> Indicador de S</w:t>
      </w:r>
      <w:r w:rsidR="00C54270">
        <w:rPr>
          <w:szCs w:val="24"/>
        </w:rPr>
        <w:t>olidez</w:t>
      </w:r>
      <w:r w:rsidR="00E156E2">
        <w:rPr>
          <w:szCs w:val="24"/>
        </w:rPr>
        <w:t xml:space="preserve"> Financeira (</w:t>
      </w:r>
      <w:r w:rsidR="001B260E" w:rsidRPr="001B260E">
        <w:rPr>
          <w:i/>
          <w:szCs w:val="24"/>
        </w:rPr>
        <w:t xml:space="preserve">Financial </w:t>
      </w:r>
      <w:proofErr w:type="spellStart"/>
      <w:r w:rsidR="001B260E" w:rsidRPr="001B260E">
        <w:rPr>
          <w:i/>
          <w:szCs w:val="24"/>
        </w:rPr>
        <w:t>Soundness</w:t>
      </w:r>
      <w:proofErr w:type="spellEnd"/>
      <w:r w:rsidR="001B260E" w:rsidRPr="001B260E">
        <w:rPr>
          <w:i/>
          <w:szCs w:val="24"/>
        </w:rPr>
        <w:t xml:space="preserve"> </w:t>
      </w:r>
      <w:proofErr w:type="spellStart"/>
      <w:r w:rsidR="001B260E" w:rsidRPr="001B260E">
        <w:rPr>
          <w:i/>
          <w:szCs w:val="24"/>
        </w:rPr>
        <w:t>Indicators</w:t>
      </w:r>
      <w:proofErr w:type="spellEnd"/>
      <w:r w:rsidR="001B260E">
        <w:rPr>
          <w:szCs w:val="24"/>
        </w:rPr>
        <w:t xml:space="preserve"> - </w:t>
      </w:r>
      <w:r w:rsidR="00E156E2" w:rsidRPr="00E156E2">
        <w:rPr>
          <w:szCs w:val="24"/>
        </w:rPr>
        <w:t>FSI)</w:t>
      </w:r>
      <w:r w:rsidR="001B260E">
        <w:rPr>
          <w:szCs w:val="24"/>
        </w:rPr>
        <w:t>.</w:t>
      </w:r>
    </w:p>
    <w:p w14:paraId="63A660A3" w14:textId="3CB4489F" w:rsidR="00AD5717" w:rsidRPr="005A4D11" w:rsidRDefault="00DA01EF" w:rsidP="00CD0FEF">
      <w:pPr>
        <w:autoSpaceDE w:val="0"/>
        <w:autoSpaceDN w:val="0"/>
        <w:adjustRightInd w:val="0"/>
        <w:ind w:left="993"/>
        <w:rPr>
          <w:rFonts w:cs="Times New Roman"/>
          <w:sz w:val="22"/>
          <w:szCs w:val="24"/>
        </w:rPr>
      </w:pPr>
      <w:r>
        <w:rPr>
          <w:rFonts w:cs="Times New Roman"/>
          <w:i/>
          <w:sz w:val="22"/>
          <w:szCs w:val="24"/>
        </w:rPr>
        <w:lastRenderedPageBreak/>
        <w:t>“</w:t>
      </w:r>
      <w:r w:rsidR="00AD5717" w:rsidRPr="00124542">
        <w:rPr>
          <w:rFonts w:cs="Times New Roman"/>
          <w:i/>
          <w:sz w:val="22"/>
          <w:szCs w:val="24"/>
        </w:rPr>
        <w:t>Indicadores da Solidez Financeira (FSIS) são indicadores d</w:t>
      </w:r>
      <w:r w:rsidR="00301E0A">
        <w:rPr>
          <w:rFonts w:cs="Times New Roman"/>
          <w:i/>
          <w:sz w:val="22"/>
          <w:szCs w:val="24"/>
        </w:rPr>
        <w:t xml:space="preserve">o estado corrente da saúde financeira </w:t>
      </w:r>
      <w:r w:rsidR="00AD5717" w:rsidRPr="00124542">
        <w:rPr>
          <w:rFonts w:cs="Times New Roman"/>
          <w:i/>
          <w:sz w:val="22"/>
          <w:szCs w:val="24"/>
        </w:rPr>
        <w:t>e solidez das instituições financeiras em um país</w:t>
      </w:r>
      <w:r w:rsidR="007374C4">
        <w:rPr>
          <w:rFonts w:cs="Times New Roman"/>
          <w:i/>
          <w:sz w:val="22"/>
          <w:szCs w:val="24"/>
        </w:rPr>
        <w:t xml:space="preserve">, bem como </w:t>
      </w:r>
      <w:r w:rsidR="00AD5717" w:rsidRPr="00124542">
        <w:rPr>
          <w:rFonts w:cs="Times New Roman"/>
          <w:i/>
          <w:sz w:val="22"/>
          <w:szCs w:val="24"/>
        </w:rPr>
        <w:t>de suas contrapartes corporativas e domésticas.</w:t>
      </w:r>
      <w:r w:rsidR="007374C4">
        <w:rPr>
          <w:rFonts w:cs="Times New Roman"/>
          <w:i/>
          <w:sz w:val="22"/>
          <w:szCs w:val="24"/>
        </w:rPr>
        <w:t xml:space="preserve"> </w:t>
      </w:r>
      <w:r w:rsidR="00AD5717" w:rsidRPr="00124542">
        <w:rPr>
          <w:rFonts w:cs="Times New Roman"/>
          <w:i/>
          <w:sz w:val="22"/>
          <w:szCs w:val="24"/>
        </w:rPr>
        <w:t xml:space="preserve">Eles incluem tanto os dados </w:t>
      </w:r>
      <w:r w:rsidR="00301E0A">
        <w:rPr>
          <w:rFonts w:cs="Times New Roman"/>
          <w:i/>
          <w:sz w:val="22"/>
          <w:szCs w:val="24"/>
        </w:rPr>
        <w:t xml:space="preserve">agregados de </w:t>
      </w:r>
      <w:r w:rsidR="00AD5717" w:rsidRPr="00124542">
        <w:rPr>
          <w:rFonts w:cs="Times New Roman"/>
          <w:i/>
          <w:sz w:val="22"/>
          <w:szCs w:val="24"/>
        </w:rPr>
        <w:t>instituiç</w:t>
      </w:r>
      <w:r w:rsidR="00301E0A">
        <w:rPr>
          <w:rFonts w:cs="Times New Roman"/>
          <w:i/>
          <w:sz w:val="22"/>
          <w:szCs w:val="24"/>
        </w:rPr>
        <w:t xml:space="preserve">ões </w:t>
      </w:r>
      <w:r w:rsidR="00AD5717" w:rsidRPr="00124542">
        <w:rPr>
          <w:rFonts w:cs="Times New Roman"/>
          <w:i/>
          <w:sz w:val="22"/>
          <w:szCs w:val="24"/>
        </w:rPr>
        <w:t xml:space="preserve">individuais </w:t>
      </w:r>
      <w:r w:rsidR="00052D02">
        <w:rPr>
          <w:rFonts w:cs="Times New Roman"/>
          <w:i/>
          <w:sz w:val="22"/>
          <w:szCs w:val="24"/>
        </w:rPr>
        <w:t xml:space="preserve">quanto </w:t>
      </w:r>
      <w:r w:rsidR="00AD5717" w:rsidRPr="00124542">
        <w:rPr>
          <w:rFonts w:cs="Times New Roman"/>
          <w:i/>
          <w:sz w:val="22"/>
          <w:szCs w:val="24"/>
        </w:rPr>
        <w:t xml:space="preserve">indicadores representativos dos mercados em que </w:t>
      </w:r>
      <w:r w:rsidR="001D58D0">
        <w:rPr>
          <w:rFonts w:cs="Times New Roman"/>
          <w:i/>
          <w:sz w:val="22"/>
          <w:szCs w:val="24"/>
        </w:rPr>
        <w:t>ess</w:t>
      </w:r>
      <w:r w:rsidR="00AD5717" w:rsidRPr="00124542">
        <w:rPr>
          <w:rFonts w:cs="Times New Roman"/>
          <w:i/>
          <w:sz w:val="22"/>
          <w:szCs w:val="24"/>
        </w:rPr>
        <w:t xml:space="preserve">as instituições operam. </w:t>
      </w:r>
      <w:r w:rsidR="001D58D0">
        <w:rPr>
          <w:rFonts w:cs="Times New Roman"/>
          <w:i/>
          <w:sz w:val="22"/>
          <w:szCs w:val="24"/>
        </w:rPr>
        <w:t xml:space="preserve">Os </w:t>
      </w:r>
      <w:r w:rsidR="00AD5717" w:rsidRPr="00124542">
        <w:rPr>
          <w:rFonts w:cs="Times New Roman"/>
          <w:i/>
          <w:sz w:val="22"/>
          <w:szCs w:val="24"/>
        </w:rPr>
        <w:t>FSIS são calculados e divulgados com a finalidade de apoiar a vigilância nacional e internacional dos sistemas financeiros. Em suma, o desenvolvimento do FSIS é uma ferramenta fundamental no trabalho do FMI para reforçar a estabilidade do sistema financeiro</w:t>
      </w:r>
      <w:r>
        <w:rPr>
          <w:rFonts w:cs="Times New Roman"/>
          <w:i/>
          <w:sz w:val="22"/>
          <w:szCs w:val="24"/>
        </w:rPr>
        <w:t>.</w:t>
      </w:r>
      <w:r w:rsidR="00083D65">
        <w:rPr>
          <w:rFonts w:cs="Times New Roman"/>
          <w:i/>
          <w:sz w:val="22"/>
          <w:szCs w:val="24"/>
        </w:rPr>
        <w:t xml:space="preserve">” </w:t>
      </w:r>
      <w:r w:rsidR="00C54270">
        <w:rPr>
          <w:rStyle w:val="Refdenotaderodap"/>
          <w:rFonts w:cs="Times New Roman"/>
          <w:i/>
          <w:sz w:val="22"/>
          <w:szCs w:val="24"/>
        </w:rPr>
        <w:footnoteReference w:id="2"/>
      </w:r>
    </w:p>
    <w:p w14:paraId="37342141" w14:textId="77777777" w:rsidR="00AD5717" w:rsidRDefault="00AD5717" w:rsidP="00CD0FEF">
      <w:pPr>
        <w:autoSpaceDE w:val="0"/>
        <w:autoSpaceDN w:val="0"/>
        <w:adjustRightInd w:val="0"/>
        <w:rPr>
          <w:rFonts w:cs="Times New Roman"/>
          <w:szCs w:val="24"/>
        </w:rPr>
      </w:pPr>
    </w:p>
    <w:p w14:paraId="250B8ADE" w14:textId="5BA8E05F" w:rsidR="000726A5" w:rsidRDefault="005A4D11" w:rsidP="00CD0FEF">
      <w:pPr>
        <w:autoSpaceDE w:val="0"/>
        <w:autoSpaceDN w:val="0"/>
        <w:adjustRightInd w:val="0"/>
        <w:rPr>
          <w:rFonts w:cs="Times New Roman"/>
          <w:szCs w:val="24"/>
        </w:rPr>
      </w:pPr>
      <w:r>
        <w:rPr>
          <w:rFonts w:cs="Times New Roman"/>
          <w:szCs w:val="24"/>
        </w:rPr>
        <w:tab/>
      </w:r>
      <w:r w:rsidR="00E22BE7">
        <w:rPr>
          <w:rFonts w:cs="Times New Roman"/>
          <w:szCs w:val="24"/>
        </w:rPr>
        <w:t xml:space="preserve">O documento se propõe a servir de fórum para uma discussão </w:t>
      </w:r>
      <w:r w:rsidR="00F7263E">
        <w:rPr>
          <w:rFonts w:cs="Times New Roman"/>
          <w:szCs w:val="24"/>
        </w:rPr>
        <w:t xml:space="preserve">mais </w:t>
      </w:r>
      <w:r w:rsidR="00E22BE7">
        <w:rPr>
          <w:rFonts w:cs="Times New Roman"/>
          <w:szCs w:val="24"/>
        </w:rPr>
        <w:t xml:space="preserve">aprofundada </w:t>
      </w:r>
      <w:r w:rsidR="00F7263E">
        <w:rPr>
          <w:rFonts w:cs="Times New Roman"/>
          <w:szCs w:val="24"/>
        </w:rPr>
        <w:t xml:space="preserve">das ferramentas estatísticas </w:t>
      </w:r>
      <w:r w:rsidR="004036B1">
        <w:rPr>
          <w:rFonts w:cs="Times New Roman"/>
          <w:szCs w:val="24"/>
        </w:rPr>
        <w:t xml:space="preserve">sobre o mercado imobiliário </w:t>
      </w:r>
      <w:r w:rsidR="00C60ACB">
        <w:rPr>
          <w:rFonts w:cs="Times New Roman"/>
          <w:szCs w:val="24"/>
        </w:rPr>
        <w:t xml:space="preserve">devido </w:t>
      </w:r>
      <w:r w:rsidR="00F7061C">
        <w:rPr>
          <w:rFonts w:cs="Times New Roman"/>
          <w:szCs w:val="24"/>
        </w:rPr>
        <w:t>às</w:t>
      </w:r>
      <w:r w:rsidR="001D24D2">
        <w:rPr>
          <w:rFonts w:cs="Times New Roman"/>
          <w:szCs w:val="24"/>
        </w:rPr>
        <w:t xml:space="preserve"> deficiência</w:t>
      </w:r>
      <w:r w:rsidR="00786AE9">
        <w:rPr>
          <w:rFonts w:cs="Times New Roman"/>
          <w:szCs w:val="24"/>
        </w:rPr>
        <w:t>s</w:t>
      </w:r>
      <w:r w:rsidR="00DA01EF">
        <w:rPr>
          <w:rFonts w:cs="Times New Roman"/>
          <w:szCs w:val="24"/>
        </w:rPr>
        <w:t xml:space="preserve"> atuais</w:t>
      </w:r>
      <w:r w:rsidR="00F7263E">
        <w:rPr>
          <w:rFonts w:cs="Times New Roman"/>
          <w:szCs w:val="24"/>
        </w:rPr>
        <w:t xml:space="preserve"> na identificação e utilização de</w:t>
      </w:r>
      <w:r w:rsidR="004036B1">
        <w:rPr>
          <w:rFonts w:cs="Times New Roman"/>
          <w:szCs w:val="24"/>
        </w:rPr>
        <w:t>ssas</w:t>
      </w:r>
      <w:r w:rsidR="000726A5">
        <w:rPr>
          <w:rFonts w:cs="Times New Roman"/>
          <w:szCs w:val="24"/>
        </w:rPr>
        <w:t xml:space="preserve"> </w:t>
      </w:r>
      <w:r w:rsidR="004036B1">
        <w:rPr>
          <w:rFonts w:cs="Times New Roman"/>
          <w:szCs w:val="24"/>
        </w:rPr>
        <w:t>informações.</w:t>
      </w:r>
      <w:r w:rsidR="00F7263E">
        <w:rPr>
          <w:rFonts w:cs="Times New Roman"/>
          <w:szCs w:val="24"/>
        </w:rPr>
        <w:t xml:space="preserve"> </w:t>
      </w:r>
      <w:r w:rsidR="000726A5">
        <w:rPr>
          <w:rFonts w:cs="Times New Roman"/>
          <w:szCs w:val="24"/>
        </w:rPr>
        <w:t>Se de um lado as questões relativas a esse tipo de ativos dos bancos tem se tornado mais importante</w:t>
      </w:r>
      <w:r w:rsidR="00C60ACB">
        <w:rPr>
          <w:rFonts w:cs="Times New Roman"/>
          <w:szCs w:val="24"/>
        </w:rPr>
        <w:t>s para o sistema financeiro</w:t>
      </w:r>
      <w:r w:rsidR="000726A5">
        <w:rPr>
          <w:rFonts w:cs="Times New Roman"/>
          <w:szCs w:val="24"/>
        </w:rPr>
        <w:t xml:space="preserve">, </w:t>
      </w:r>
      <w:r w:rsidR="009224CE">
        <w:rPr>
          <w:rFonts w:cs="Times New Roman"/>
          <w:szCs w:val="24"/>
        </w:rPr>
        <w:t xml:space="preserve">de outro, </w:t>
      </w:r>
      <w:r w:rsidR="000726A5">
        <w:rPr>
          <w:rFonts w:cs="Times New Roman"/>
          <w:szCs w:val="24"/>
        </w:rPr>
        <w:t>as ferramentas para medir o comportamento desses ativos</w:t>
      </w:r>
      <w:r w:rsidR="00A67EAD">
        <w:rPr>
          <w:rFonts w:cs="Times New Roman"/>
          <w:szCs w:val="24"/>
        </w:rPr>
        <w:t xml:space="preserve"> não tem sido utilizadas, ou não foram suficientemente desenvolvidas a ponto de serem consideradas satisfatórias</w:t>
      </w:r>
      <w:r w:rsidR="009224CE">
        <w:rPr>
          <w:rFonts w:cs="Times New Roman"/>
          <w:szCs w:val="24"/>
        </w:rPr>
        <w:t>, ou suficientes, para o manejo de políticas destinadas a evitar os efeitos danosos dos ciclos econômicos típicos desses ativos.</w:t>
      </w:r>
    </w:p>
    <w:p w14:paraId="0DCED42F" w14:textId="77777777" w:rsidR="00384726" w:rsidRDefault="00384726" w:rsidP="00CD0FEF">
      <w:pPr>
        <w:autoSpaceDE w:val="0"/>
        <w:autoSpaceDN w:val="0"/>
        <w:adjustRightInd w:val="0"/>
        <w:rPr>
          <w:szCs w:val="24"/>
        </w:rPr>
      </w:pPr>
    </w:p>
    <w:p w14:paraId="7247D469" w14:textId="23B1D839" w:rsidR="00755298" w:rsidRPr="00AC7FBF" w:rsidRDefault="00962DF1" w:rsidP="00962DF1">
      <w:pPr>
        <w:pStyle w:val="Ttulo2"/>
        <w:rPr>
          <w:rFonts w:ascii="Times New Roman" w:hAnsi="Times New Roman" w:cs="Times New Roman"/>
          <w:color w:val="auto"/>
          <w:sz w:val="24"/>
          <w:szCs w:val="24"/>
        </w:rPr>
      </w:pPr>
      <w:bookmarkStart w:id="5" w:name="_Toc424741950"/>
      <w:r w:rsidRPr="00AC7FBF">
        <w:rPr>
          <w:rFonts w:ascii="Times New Roman" w:hAnsi="Times New Roman" w:cs="Times New Roman"/>
          <w:color w:val="auto"/>
          <w:sz w:val="24"/>
          <w:szCs w:val="24"/>
        </w:rPr>
        <w:t xml:space="preserve">3.1 </w:t>
      </w:r>
      <w:r w:rsidR="00AC7FBF">
        <w:rPr>
          <w:rFonts w:ascii="Times New Roman" w:hAnsi="Times New Roman" w:cs="Times New Roman"/>
          <w:color w:val="auto"/>
          <w:sz w:val="24"/>
          <w:szCs w:val="24"/>
        </w:rPr>
        <w:t>O</w:t>
      </w:r>
      <w:r w:rsidR="00AC7FBF" w:rsidRPr="00AC7FBF">
        <w:rPr>
          <w:rFonts w:ascii="Times New Roman" w:hAnsi="Times New Roman" w:cs="Times New Roman"/>
          <w:color w:val="auto"/>
          <w:sz w:val="24"/>
          <w:szCs w:val="24"/>
        </w:rPr>
        <w:t xml:space="preserve"> ciclo imobiliário e as crises econômicas</w:t>
      </w:r>
      <w:bookmarkEnd w:id="5"/>
    </w:p>
    <w:p w14:paraId="4ED38027" w14:textId="2BC2625B" w:rsidR="003970D2" w:rsidRDefault="003970D2" w:rsidP="00CD0FEF">
      <w:pPr>
        <w:autoSpaceDE w:val="0"/>
        <w:autoSpaceDN w:val="0"/>
        <w:adjustRightInd w:val="0"/>
        <w:ind w:firstLine="708"/>
        <w:rPr>
          <w:rFonts w:cs="Times New Roman"/>
          <w:i/>
          <w:szCs w:val="24"/>
        </w:rPr>
      </w:pPr>
      <w:r>
        <w:rPr>
          <w:rFonts w:cs="Times New Roman"/>
          <w:szCs w:val="24"/>
        </w:rPr>
        <w:t>O ciclo de produção dos imóveis é</w:t>
      </w:r>
      <w:r w:rsidRPr="00F903B2">
        <w:rPr>
          <w:rFonts w:cs="Times New Roman"/>
          <w:szCs w:val="24"/>
        </w:rPr>
        <w:t xml:space="preserve"> </w:t>
      </w:r>
      <w:r>
        <w:rPr>
          <w:rFonts w:cs="Times New Roman"/>
          <w:szCs w:val="24"/>
        </w:rPr>
        <w:t xml:space="preserve">de </w:t>
      </w:r>
      <w:r w:rsidRPr="00F903B2">
        <w:rPr>
          <w:rFonts w:cs="Times New Roman"/>
          <w:szCs w:val="24"/>
        </w:rPr>
        <w:t>f</w:t>
      </w:r>
      <w:r>
        <w:rPr>
          <w:rFonts w:cs="Times New Roman"/>
          <w:szCs w:val="24"/>
        </w:rPr>
        <w:t xml:space="preserve">undamental </w:t>
      </w:r>
      <w:r w:rsidRPr="00F903B2">
        <w:rPr>
          <w:rFonts w:cs="Times New Roman"/>
          <w:szCs w:val="24"/>
        </w:rPr>
        <w:t>importância para a ocorrência de descoordenação entre oferta e demanda</w:t>
      </w:r>
      <w:r>
        <w:rPr>
          <w:rFonts w:cs="Times New Roman"/>
          <w:szCs w:val="24"/>
        </w:rPr>
        <w:t xml:space="preserve">. </w:t>
      </w:r>
      <w:r w:rsidR="003962A7">
        <w:rPr>
          <w:rFonts w:cs="Times New Roman"/>
          <w:szCs w:val="24"/>
        </w:rPr>
        <w:t xml:space="preserve">Num exercício em que pudéssemos isolar </w:t>
      </w:r>
      <w:r>
        <w:rPr>
          <w:rFonts w:cs="Times New Roman"/>
          <w:szCs w:val="24"/>
        </w:rPr>
        <w:t xml:space="preserve">o ciclo produtivo </w:t>
      </w:r>
      <w:r w:rsidR="003962A7">
        <w:rPr>
          <w:rFonts w:cs="Times New Roman"/>
          <w:szCs w:val="24"/>
        </w:rPr>
        <w:t xml:space="preserve">dos imóveis </w:t>
      </w:r>
      <w:r>
        <w:rPr>
          <w:rFonts w:cs="Times New Roman"/>
          <w:szCs w:val="24"/>
        </w:rPr>
        <w:t>sem a participação do setor financeiro, o descompasso entre demanda e a resposta da oferta já é propício naturalmente à formação de ciclos de oscilação de preços.</w:t>
      </w:r>
      <w:r w:rsidRPr="00F903B2">
        <w:rPr>
          <w:rFonts w:cs="Times New Roman"/>
          <w:szCs w:val="24"/>
        </w:rPr>
        <w:t xml:space="preserve"> </w:t>
      </w:r>
      <w:proofErr w:type="spellStart"/>
      <w:r w:rsidRPr="00F903B2">
        <w:rPr>
          <w:rFonts w:cs="Times New Roman"/>
          <w:szCs w:val="24"/>
        </w:rPr>
        <w:t>Haibin</w:t>
      </w:r>
      <w:proofErr w:type="spellEnd"/>
      <w:r w:rsidRPr="00F903B2">
        <w:rPr>
          <w:rFonts w:cs="Times New Roman"/>
          <w:szCs w:val="24"/>
        </w:rPr>
        <w:t xml:space="preserve"> Zhu (BIS WP</w:t>
      </w:r>
      <w:r w:rsidR="00083D65" w:rsidRPr="00F903B2">
        <w:rPr>
          <w:rFonts w:cs="Times New Roman"/>
          <w:szCs w:val="24"/>
        </w:rPr>
        <w:t xml:space="preserve"> </w:t>
      </w:r>
      <w:r w:rsidRPr="00F903B2">
        <w:rPr>
          <w:rFonts w:cs="Times New Roman"/>
          <w:szCs w:val="24"/>
        </w:rPr>
        <w:t xml:space="preserve">21 </w:t>
      </w:r>
      <w:r w:rsidR="00083D65" w:rsidRPr="00F903B2">
        <w:rPr>
          <w:rFonts w:cs="Times New Roman"/>
          <w:szCs w:val="24"/>
        </w:rPr>
        <w:t>pág.</w:t>
      </w:r>
      <w:r w:rsidRPr="00A60664">
        <w:rPr>
          <w:rFonts w:cs="Times New Roman"/>
          <w:szCs w:val="24"/>
        </w:rPr>
        <w:t xml:space="preserve"> 9) quando ele afirma que</w:t>
      </w:r>
      <w:r w:rsidR="0012407A">
        <w:rPr>
          <w:rFonts w:cs="Times New Roman"/>
          <w:szCs w:val="24"/>
        </w:rPr>
        <w:t xml:space="preserve"> </w:t>
      </w:r>
      <w:r>
        <w:rPr>
          <w:rFonts w:cs="Times New Roman"/>
          <w:szCs w:val="24"/>
        </w:rPr>
        <w:t>“</w:t>
      </w:r>
      <w:r w:rsidRPr="00A60664">
        <w:rPr>
          <w:rFonts w:cs="Times New Roman"/>
          <w:i/>
          <w:szCs w:val="24"/>
        </w:rPr>
        <w:t>a resposta da oferta no mercado imobiliário é muito mais lenta do que a de outros bens. A demora se deve aos processos de aprovação e de construção. A</w:t>
      </w:r>
      <w:r>
        <w:rPr>
          <w:rFonts w:cs="Times New Roman"/>
          <w:i/>
          <w:szCs w:val="24"/>
        </w:rPr>
        <w:t xml:space="preserve"> </w:t>
      </w:r>
      <w:r w:rsidRPr="00A60664">
        <w:rPr>
          <w:rFonts w:cs="Times New Roman"/>
          <w:i/>
          <w:szCs w:val="24"/>
        </w:rPr>
        <w:t>perce</w:t>
      </w:r>
      <w:r>
        <w:rPr>
          <w:rFonts w:cs="Times New Roman"/>
          <w:i/>
          <w:szCs w:val="24"/>
        </w:rPr>
        <w:t>p</w:t>
      </w:r>
      <w:r w:rsidRPr="00A60664">
        <w:rPr>
          <w:rFonts w:cs="Times New Roman"/>
          <w:i/>
          <w:szCs w:val="24"/>
        </w:rPr>
        <w:t xml:space="preserve">ção do mercado se altera com as fases do ciclo. As oscilações dos preços são causadas </w:t>
      </w:r>
      <w:r>
        <w:rPr>
          <w:rFonts w:cs="Times New Roman"/>
          <w:i/>
          <w:szCs w:val="24"/>
        </w:rPr>
        <w:t xml:space="preserve">(pela)... </w:t>
      </w:r>
      <w:r w:rsidRPr="00A60664">
        <w:rPr>
          <w:rFonts w:cs="Times New Roman"/>
          <w:i/>
          <w:szCs w:val="24"/>
        </w:rPr>
        <w:t>demora na produção de produtos novos e a (notória) dependência das decisões de investimento.</w:t>
      </w:r>
      <w:r>
        <w:rPr>
          <w:rFonts w:cs="Times New Roman"/>
          <w:i/>
          <w:szCs w:val="24"/>
        </w:rPr>
        <w:t xml:space="preserve">..  É </w:t>
      </w:r>
      <w:r w:rsidRPr="00A60664">
        <w:rPr>
          <w:rFonts w:cs="Times New Roman"/>
          <w:i/>
          <w:szCs w:val="24"/>
        </w:rPr>
        <w:t>muito difícil</w:t>
      </w:r>
      <w:r>
        <w:rPr>
          <w:rFonts w:cs="Times New Roman"/>
          <w:i/>
          <w:szCs w:val="24"/>
        </w:rPr>
        <w:t>, p</w:t>
      </w:r>
      <w:r w:rsidRPr="00A60664">
        <w:rPr>
          <w:rFonts w:cs="Times New Roman"/>
          <w:i/>
          <w:szCs w:val="24"/>
        </w:rPr>
        <w:t>ortanto, se não impossível</w:t>
      </w:r>
      <w:r>
        <w:rPr>
          <w:rFonts w:cs="Times New Roman"/>
          <w:i/>
          <w:szCs w:val="24"/>
        </w:rPr>
        <w:t>,</w:t>
      </w:r>
      <w:r w:rsidRPr="00A60664">
        <w:rPr>
          <w:rFonts w:cs="Times New Roman"/>
          <w:i/>
          <w:szCs w:val="24"/>
        </w:rPr>
        <w:t xml:space="preserve"> que os participantes do mercado consigam prever os movimentos futuros dos preços dos im</w:t>
      </w:r>
      <w:r>
        <w:rPr>
          <w:rFonts w:cs="Times New Roman"/>
          <w:i/>
          <w:szCs w:val="24"/>
        </w:rPr>
        <w:t>óveis.”</w:t>
      </w:r>
    </w:p>
    <w:p w14:paraId="48EEBC7A" w14:textId="709DF040" w:rsidR="003962A7" w:rsidRPr="003962A7" w:rsidRDefault="003962A7" w:rsidP="00CD0FEF">
      <w:pPr>
        <w:autoSpaceDE w:val="0"/>
        <w:autoSpaceDN w:val="0"/>
        <w:adjustRightInd w:val="0"/>
        <w:ind w:firstLine="708"/>
        <w:rPr>
          <w:rFonts w:cs="Times New Roman"/>
          <w:szCs w:val="24"/>
          <w:highlight w:val="yellow"/>
        </w:rPr>
      </w:pPr>
      <w:r>
        <w:rPr>
          <w:rFonts w:cs="Times New Roman"/>
          <w:szCs w:val="24"/>
        </w:rPr>
        <w:t>Esse</w:t>
      </w:r>
      <w:r w:rsidR="00AF3312">
        <w:rPr>
          <w:rFonts w:cs="Times New Roman"/>
          <w:szCs w:val="24"/>
        </w:rPr>
        <w:t xml:space="preserve"> ciclo já é bastante familiar para os estudiosos do setor, e sua contribuição para as “bolhas imobiliárias” é objeto de alguns dos textos daqueles </w:t>
      </w:r>
      <w:proofErr w:type="spellStart"/>
      <w:r w:rsidR="00AF3312">
        <w:rPr>
          <w:rFonts w:cs="Times New Roman"/>
          <w:szCs w:val="24"/>
        </w:rPr>
        <w:t>WPs</w:t>
      </w:r>
      <w:proofErr w:type="spellEnd"/>
      <w:r w:rsidR="00AF3312">
        <w:rPr>
          <w:rFonts w:cs="Times New Roman"/>
          <w:szCs w:val="24"/>
        </w:rPr>
        <w:t>.</w:t>
      </w:r>
    </w:p>
    <w:p w14:paraId="14289758" w14:textId="522D265A" w:rsidR="00167322" w:rsidRDefault="00AF3312" w:rsidP="00CD0FEF">
      <w:pPr>
        <w:autoSpaceDE w:val="0"/>
        <w:autoSpaceDN w:val="0"/>
        <w:adjustRightInd w:val="0"/>
        <w:ind w:firstLine="708"/>
        <w:rPr>
          <w:szCs w:val="24"/>
        </w:rPr>
      </w:pPr>
      <w:r>
        <w:rPr>
          <w:szCs w:val="24"/>
        </w:rPr>
        <w:t>A</w:t>
      </w:r>
      <w:r w:rsidR="00755298">
        <w:rPr>
          <w:szCs w:val="24"/>
        </w:rPr>
        <w:t xml:space="preserve">s </w:t>
      </w:r>
      <w:r w:rsidR="006502F2">
        <w:rPr>
          <w:szCs w:val="24"/>
        </w:rPr>
        <w:t>“</w:t>
      </w:r>
      <w:r w:rsidR="00755298">
        <w:rPr>
          <w:szCs w:val="24"/>
        </w:rPr>
        <w:t>bolhas</w:t>
      </w:r>
      <w:r w:rsidR="006502F2">
        <w:rPr>
          <w:szCs w:val="24"/>
        </w:rPr>
        <w:t xml:space="preserve"> imobiliárias”, </w:t>
      </w:r>
      <w:r w:rsidR="0018701D">
        <w:rPr>
          <w:szCs w:val="24"/>
        </w:rPr>
        <w:t xml:space="preserve">fenômeno marcado por </w:t>
      </w:r>
      <w:r w:rsidR="003015A5">
        <w:rPr>
          <w:szCs w:val="24"/>
        </w:rPr>
        <w:t xml:space="preserve">fortes quedas dos preços dos imóveis após um </w:t>
      </w:r>
      <w:r w:rsidR="00EA46E6">
        <w:rPr>
          <w:szCs w:val="24"/>
        </w:rPr>
        <w:t xml:space="preserve">vigoroso </w:t>
      </w:r>
      <w:r w:rsidR="003015A5">
        <w:rPr>
          <w:szCs w:val="24"/>
        </w:rPr>
        <w:t>movimento de alta</w:t>
      </w:r>
      <w:r w:rsidR="0018701D">
        <w:rPr>
          <w:szCs w:val="24"/>
        </w:rPr>
        <w:t xml:space="preserve">, </w:t>
      </w:r>
      <w:r>
        <w:rPr>
          <w:szCs w:val="24"/>
        </w:rPr>
        <w:t xml:space="preserve">tem </w:t>
      </w:r>
      <w:r w:rsidR="00EA46E6">
        <w:rPr>
          <w:szCs w:val="24"/>
        </w:rPr>
        <w:t xml:space="preserve">estreita </w:t>
      </w:r>
      <w:r w:rsidR="0018701D">
        <w:rPr>
          <w:szCs w:val="24"/>
        </w:rPr>
        <w:t>relação com as crises econômicas dos países estudados.</w:t>
      </w:r>
      <w:r w:rsidR="00525F1B">
        <w:rPr>
          <w:rStyle w:val="Refdenotaderodap"/>
          <w:szCs w:val="24"/>
        </w:rPr>
        <w:footnoteReference w:id="3"/>
      </w:r>
      <w:r w:rsidR="00F8370B">
        <w:rPr>
          <w:szCs w:val="24"/>
        </w:rPr>
        <w:t xml:space="preserve"> </w:t>
      </w:r>
      <w:r w:rsidR="00525F1B">
        <w:rPr>
          <w:szCs w:val="24"/>
        </w:rPr>
        <w:t>Foram</w:t>
      </w:r>
      <w:r w:rsidR="00D8733D">
        <w:rPr>
          <w:szCs w:val="24"/>
        </w:rPr>
        <w:t xml:space="preserve"> estudados </w:t>
      </w:r>
      <w:r w:rsidR="00874049">
        <w:rPr>
          <w:szCs w:val="24"/>
        </w:rPr>
        <w:t>os casos de 14 países no período 1970 a 2001</w:t>
      </w:r>
      <w:r w:rsidR="00D8733D">
        <w:rPr>
          <w:szCs w:val="24"/>
        </w:rPr>
        <w:t xml:space="preserve">, procurando encontrar algum sentido de causação entre flutuações dos preços dos imóveis e crises </w:t>
      </w:r>
      <w:r w:rsidR="00764EF8">
        <w:rPr>
          <w:szCs w:val="24"/>
        </w:rPr>
        <w:t>econômicas</w:t>
      </w:r>
      <w:r w:rsidR="00BD754E">
        <w:rPr>
          <w:szCs w:val="24"/>
        </w:rPr>
        <w:t>. Suas conclusões são</w:t>
      </w:r>
      <w:r w:rsidR="009D18DB">
        <w:rPr>
          <w:szCs w:val="24"/>
        </w:rPr>
        <w:t xml:space="preserve"> cabais </w:t>
      </w:r>
      <w:r w:rsidR="00BD754E">
        <w:rPr>
          <w:szCs w:val="24"/>
        </w:rPr>
        <w:t xml:space="preserve">quanto ao impacto </w:t>
      </w:r>
      <w:r w:rsidR="009A0286">
        <w:rPr>
          <w:szCs w:val="24"/>
        </w:rPr>
        <w:t xml:space="preserve">na economia </w:t>
      </w:r>
      <w:r w:rsidR="00BF54C4">
        <w:rPr>
          <w:szCs w:val="24"/>
        </w:rPr>
        <w:t xml:space="preserve">das </w:t>
      </w:r>
      <w:r w:rsidR="00BD754E">
        <w:rPr>
          <w:szCs w:val="24"/>
        </w:rPr>
        <w:t xml:space="preserve">fortes oscilações </w:t>
      </w:r>
      <w:r w:rsidR="009D18DB">
        <w:rPr>
          <w:szCs w:val="24"/>
        </w:rPr>
        <w:t>nos preços d</w:t>
      </w:r>
      <w:r w:rsidR="00BF54C4">
        <w:rPr>
          <w:szCs w:val="24"/>
        </w:rPr>
        <w:t>os imóveis</w:t>
      </w:r>
      <w:r w:rsidR="001A77A6">
        <w:rPr>
          <w:szCs w:val="24"/>
        </w:rPr>
        <w:t>. Diz o autor</w:t>
      </w:r>
      <w:r w:rsidR="00BF54C4">
        <w:rPr>
          <w:szCs w:val="24"/>
        </w:rPr>
        <w:t>:</w:t>
      </w:r>
      <w:r w:rsidR="00300BFC">
        <w:rPr>
          <w:szCs w:val="24"/>
        </w:rPr>
        <w:t xml:space="preserve"> </w:t>
      </w:r>
    </w:p>
    <w:p w14:paraId="1616E523" w14:textId="07C85AC4" w:rsidR="00EF79C2" w:rsidRDefault="00167322" w:rsidP="00CD0FEF">
      <w:pPr>
        <w:autoSpaceDE w:val="0"/>
        <w:autoSpaceDN w:val="0"/>
        <w:adjustRightInd w:val="0"/>
        <w:ind w:left="1134" w:firstLine="708"/>
        <w:rPr>
          <w:i/>
          <w:sz w:val="22"/>
          <w:szCs w:val="24"/>
        </w:rPr>
      </w:pPr>
      <w:r w:rsidRPr="00167322">
        <w:rPr>
          <w:sz w:val="22"/>
          <w:szCs w:val="24"/>
        </w:rPr>
        <w:t>“</w:t>
      </w:r>
      <w:r w:rsidR="00300BFC" w:rsidRPr="00167322">
        <w:rPr>
          <w:sz w:val="22"/>
          <w:szCs w:val="24"/>
        </w:rPr>
        <w:t xml:space="preserve">... </w:t>
      </w:r>
      <w:r w:rsidR="00B64DE5" w:rsidRPr="00167322">
        <w:rPr>
          <w:i/>
          <w:sz w:val="22"/>
          <w:szCs w:val="24"/>
        </w:rPr>
        <w:t>A evid</w:t>
      </w:r>
      <w:r w:rsidR="004517CB" w:rsidRPr="00167322">
        <w:rPr>
          <w:i/>
          <w:sz w:val="22"/>
          <w:szCs w:val="24"/>
        </w:rPr>
        <w:t xml:space="preserve">ência sugere que, </w:t>
      </w:r>
      <w:r w:rsidR="00EB3082">
        <w:rPr>
          <w:i/>
          <w:sz w:val="22"/>
          <w:szCs w:val="24"/>
        </w:rPr>
        <w:t xml:space="preserve">ainda que </w:t>
      </w:r>
      <w:r w:rsidR="004517CB" w:rsidRPr="00167322">
        <w:rPr>
          <w:i/>
          <w:sz w:val="22"/>
          <w:szCs w:val="24"/>
        </w:rPr>
        <w:t xml:space="preserve">quedas nos </w:t>
      </w:r>
      <w:r w:rsidR="00B64DE5" w:rsidRPr="00167322">
        <w:rPr>
          <w:i/>
          <w:sz w:val="22"/>
          <w:szCs w:val="24"/>
        </w:rPr>
        <w:t>preços da hab</w:t>
      </w:r>
      <w:r w:rsidR="00B84D64" w:rsidRPr="00167322">
        <w:rPr>
          <w:i/>
          <w:sz w:val="22"/>
          <w:szCs w:val="24"/>
        </w:rPr>
        <w:t>itação s</w:t>
      </w:r>
      <w:r w:rsidR="00427E69" w:rsidRPr="00167322">
        <w:rPr>
          <w:i/>
          <w:sz w:val="22"/>
          <w:szCs w:val="24"/>
        </w:rPr>
        <w:t>ejam</w:t>
      </w:r>
      <w:r w:rsidR="00B84D64" w:rsidRPr="00167322">
        <w:rPr>
          <w:i/>
          <w:sz w:val="22"/>
          <w:szCs w:val="24"/>
        </w:rPr>
        <w:t xml:space="preserve"> eventos pouco </w:t>
      </w:r>
      <w:r w:rsidR="00644576" w:rsidRPr="00167322">
        <w:rPr>
          <w:i/>
          <w:sz w:val="22"/>
          <w:szCs w:val="24"/>
        </w:rPr>
        <w:t>frequentes</w:t>
      </w:r>
      <w:r w:rsidR="00B64DE5" w:rsidRPr="00167322">
        <w:rPr>
          <w:i/>
          <w:sz w:val="22"/>
          <w:szCs w:val="24"/>
        </w:rPr>
        <w:t xml:space="preserve">, </w:t>
      </w:r>
      <w:r w:rsidR="00644576" w:rsidRPr="00167322">
        <w:rPr>
          <w:i/>
          <w:sz w:val="22"/>
          <w:szCs w:val="24"/>
        </w:rPr>
        <w:t>eles,</w:t>
      </w:r>
      <w:r w:rsidR="00B64DE5" w:rsidRPr="00167322">
        <w:rPr>
          <w:i/>
          <w:sz w:val="22"/>
          <w:szCs w:val="24"/>
        </w:rPr>
        <w:t xml:space="preserve"> no entanto, ocorrem com </w:t>
      </w:r>
      <w:r w:rsidR="00644576" w:rsidRPr="00167322">
        <w:rPr>
          <w:i/>
          <w:sz w:val="22"/>
          <w:szCs w:val="24"/>
        </w:rPr>
        <w:t>frequência</w:t>
      </w:r>
      <w:r w:rsidR="00B64DE5" w:rsidRPr="00167322">
        <w:rPr>
          <w:i/>
          <w:sz w:val="22"/>
          <w:szCs w:val="24"/>
        </w:rPr>
        <w:t xml:space="preserve"> suficiente para ser de grande preocupação para </w:t>
      </w:r>
      <w:r w:rsidR="00EB3082">
        <w:rPr>
          <w:i/>
          <w:sz w:val="22"/>
          <w:szCs w:val="24"/>
        </w:rPr>
        <w:t>“</w:t>
      </w:r>
      <w:r w:rsidR="00B84D64" w:rsidRPr="00167322">
        <w:rPr>
          <w:i/>
          <w:sz w:val="22"/>
          <w:szCs w:val="24"/>
        </w:rPr>
        <w:t>policy makers</w:t>
      </w:r>
      <w:r w:rsidR="00EB3082">
        <w:rPr>
          <w:i/>
          <w:sz w:val="22"/>
          <w:szCs w:val="24"/>
        </w:rPr>
        <w:t>”</w:t>
      </w:r>
      <w:r w:rsidR="00B84D64" w:rsidRPr="00167322">
        <w:rPr>
          <w:i/>
          <w:sz w:val="22"/>
          <w:szCs w:val="24"/>
        </w:rPr>
        <w:t xml:space="preserve"> e </w:t>
      </w:r>
      <w:r w:rsidR="00B64DE5" w:rsidRPr="00167322">
        <w:rPr>
          <w:i/>
          <w:sz w:val="22"/>
          <w:szCs w:val="24"/>
        </w:rPr>
        <w:t>investidores.</w:t>
      </w:r>
      <w:r w:rsidR="006706B8" w:rsidRPr="00167322">
        <w:rPr>
          <w:i/>
          <w:sz w:val="22"/>
          <w:szCs w:val="24"/>
        </w:rPr>
        <w:t xml:space="preserve"> </w:t>
      </w:r>
      <w:r w:rsidR="00AE4D48" w:rsidRPr="00167322">
        <w:rPr>
          <w:i/>
          <w:sz w:val="22"/>
          <w:szCs w:val="24"/>
        </w:rPr>
        <w:t>...</w:t>
      </w:r>
      <w:r w:rsidR="00B84D64" w:rsidRPr="00167322">
        <w:rPr>
          <w:i/>
          <w:sz w:val="22"/>
          <w:szCs w:val="24"/>
        </w:rPr>
        <w:t xml:space="preserve"> </w:t>
      </w:r>
      <w:r w:rsidR="00B64DE5" w:rsidRPr="00167322">
        <w:rPr>
          <w:i/>
          <w:sz w:val="22"/>
          <w:szCs w:val="24"/>
        </w:rPr>
        <w:t xml:space="preserve">Dependendo da métrica utilizada para identificar os </w:t>
      </w:r>
      <w:r w:rsidR="00AE4D48" w:rsidRPr="00167322">
        <w:rPr>
          <w:i/>
          <w:sz w:val="22"/>
          <w:szCs w:val="24"/>
        </w:rPr>
        <w:t>“</w:t>
      </w:r>
      <w:r w:rsidR="00B64DE5" w:rsidRPr="00167322">
        <w:rPr>
          <w:i/>
          <w:sz w:val="22"/>
          <w:szCs w:val="24"/>
        </w:rPr>
        <w:t>booms</w:t>
      </w:r>
      <w:r w:rsidR="00AE4D48" w:rsidRPr="00167322">
        <w:rPr>
          <w:i/>
          <w:sz w:val="22"/>
          <w:szCs w:val="24"/>
        </w:rPr>
        <w:t>”</w:t>
      </w:r>
      <w:r w:rsidR="00B64DE5" w:rsidRPr="00167322">
        <w:rPr>
          <w:i/>
          <w:sz w:val="22"/>
          <w:szCs w:val="24"/>
        </w:rPr>
        <w:t>, apenas entre dois quintos e dois terços de todas as expansões dos preços d</w:t>
      </w:r>
      <w:r w:rsidR="00894098" w:rsidRPr="00167322">
        <w:rPr>
          <w:i/>
          <w:sz w:val="22"/>
          <w:szCs w:val="24"/>
        </w:rPr>
        <w:t>e</w:t>
      </w:r>
      <w:r w:rsidR="00B64DE5" w:rsidRPr="00167322">
        <w:rPr>
          <w:i/>
          <w:sz w:val="22"/>
          <w:szCs w:val="24"/>
        </w:rPr>
        <w:t xml:space="preserve"> </w:t>
      </w:r>
      <w:r w:rsidR="00894098" w:rsidRPr="00167322">
        <w:rPr>
          <w:i/>
          <w:sz w:val="22"/>
          <w:szCs w:val="24"/>
        </w:rPr>
        <w:t xml:space="preserve">residências </w:t>
      </w:r>
      <w:r w:rsidR="00B64DE5" w:rsidRPr="00167322">
        <w:rPr>
          <w:i/>
          <w:sz w:val="22"/>
          <w:szCs w:val="24"/>
        </w:rPr>
        <w:t xml:space="preserve">na amostra </w:t>
      </w:r>
      <w:r w:rsidR="00C66EB5" w:rsidRPr="00167322">
        <w:rPr>
          <w:i/>
          <w:sz w:val="22"/>
          <w:szCs w:val="24"/>
        </w:rPr>
        <w:t>termina</w:t>
      </w:r>
      <w:r w:rsidR="00C61C80" w:rsidRPr="00167322">
        <w:rPr>
          <w:i/>
          <w:sz w:val="22"/>
          <w:szCs w:val="24"/>
        </w:rPr>
        <w:t>ra</w:t>
      </w:r>
      <w:r w:rsidR="00C66EB5" w:rsidRPr="00167322">
        <w:rPr>
          <w:i/>
          <w:sz w:val="22"/>
          <w:szCs w:val="24"/>
        </w:rPr>
        <w:t xml:space="preserve">m em uma queda brusca. Vimos aqui também </w:t>
      </w:r>
      <w:r w:rsidR="00B64DE5" w:rsidRPr="00167322">
        <w:rPr>
          <w:i/>
          <w:sz w:val="22"/>
          <w:szCs w:val="24"/>
        </w:rPr>
        <w:t>que grandes aumentos de preços da habitação ao longo de vários anos não</w:t>
      </w:r>
      <w:r w:rsidR="00A309BC" w:rsidRPr="00167322">
        <w:rPr>
          <w:i/>
          <w:sz w:val="22"/>
          <w:szCs w:val="24"/>
        </w:rPr>
        <w:t xml:space="preserve"> são bons indicadores d</w:t>
      </w:r>
      <w:r w:rsidR="00B64DE5" w:rsidRPr="00167322">
        <w:rPr>
          <w:i/>
          <w:sz w:val="22"/>
          <w:szCs w:val="24"/>
        </w:rPr>
        <w:t xml:space="preserve">e </w:t>
      </w:r>
      <w:r w:rsidR="00C66EB5" w:rsidRPr="00167322">
        <w:rPr>
          <w:i/>
          <w:sz w:val="22"/>
          <w:szCs w:val="24"/>
        </w:rPr>
        <w:t xml:space="preserve">apreensões </w:t>
      </w:r>
      <w:r w:rsidR="00B64DE5" w:rsidRPr="00167322">
        <w:rPr>
          <w:i/>
          <w:sz w:val="22"/>
          <w:szCs w:val="24"/>
        </w:rPr>
        <w:t>futuras.</w:t>
      </w:r>
      <w:r w:rsidR="00C66EB5" w:rsidRPr="00167322">
        <w:rPr>
          <w:i/>
          <w:sz w:val="22"/>
          <w:szCs w:val="24"/>
        </w:rPr>
        <w:t xml:space="preserve"> Aumentos relativamente rápidos </w:t>
      </w:r>
      <w:r w:rsidR="00414C74" w:rsidRPr="00167322">
        <w:rPr>
          <w:i/>
          <w:sz w:val="22"/>
          <w:szCs w:val="24"/>
        </w:rPr>
        <w:t>em</w:t>
      </w:r>
      <w:r w:rsidR="00C66EB5" w:rsidRPr="00167322">
        <w:rPr>
          <w:i/>
          <w:sz w:val="22"/>
          <w:szCs w:val="24"/>
        </w:rPr>
        <w:t xml:space="preserve"> um curto período de dois anos ou menos parecem ser</w:t>
      </w:r>
      <w:r w:rsidR="00894098" w:rsidRPr="00167322">
        <w:rPr>
          <w:i/>
          <w:sz w:val="22"/>
          <w:szCs w:val="24"/>
        </w:rPr>
        <w:t xml:space="preserve"> indicadores</w:t>
      </w:r>
      <w:r w:rsidR="00C66EB5" w:rsidRPr="00167322">
        <w:rPr>
          <w:i/>
          <w:sz w:val="22"/>
          <w:szCs w:val="24"/>
        </w:rPr>
        <w:t xml:space="preserve"> melhor</w:t>
      </w:r>
      <w:r w:rsidR="00894098" w:rsidRPr="00167322">
        <w:rPr>
          <w:i/>
          <w:sz w:val="22"/>
          <w:szCs w:val="24"/>
        </w:rPr>
        <w:t>es</w:t>
      </w:r>
      <w:r w:rsidR="00C66EB5" w:rsidRPr="00167322">
        <w:rPr>
          <w:i/>
          <w:sz w:val="22"/>
          <w:szCs w:val="24"/>
        </w:rPr>
        <w:t>, mas ainda</w:t>
      </w:r>
      <w:r w:rsidR="00894098" w:rsidRPr="00167322">
        <w:rPr>
          <w:i/>
          <w:sz w:val="22"/>
          <w:szCs w:val="24"/>
        </w:rPr>
        <w:t xml:space="preserve"> </w:t>
      </w:r>
      <w:r w:rsidR="00C66EB5" w:rsidRPr="00167322">
        <w:rPr>
          <w:i/>
          <w:sz w:val="22"/>
          <w:szCs w:val="24"/>
        </w:rPr>
        <w:t>imperfe</w:t>
      </w:r>
      <w:r w:rsidR="009E0AE4" w:rsidRPr="00167322">
        <w:rPr>
          <w:i/>
          <w:sz w:val="22"/>
          <w:szCs w:val="24"/>
        </w:rPr>
        <w:t>itos.</w:t>
      </w:r>
      <w:r w:rsidR="00BF54C4" w:rsidRPr="00167322">
        <w:rPr>
          <w:i/>
          <w:sz w:val="22"/>
          <w:szCs w:val="24"/>
        </w:rPr>
        <w:t xml:space="preserve">   </w:t>
      </w:r>
      <w:r w:rsidR="00BB78A6" w:rsidRPr="00167322">
        <w:rPr>
          <w:i/>
          <w:sz w:val="22"/>
          <w:szCs w:val="24"/>
        </w:rPr>
        <w:t>...</w:t>
      </w:r>
      <w:r w:rsidR="00BF54C4" w:rsidRPr="00167322">
        <w:rPr>
          <w:i/>
          <w:sz w:val="22"/>
          <w:szCs w:val="24"/>
        </w:rPr>
        <w:t xml:space="preserve">  </w:t>
      </w:r>
      <w:r w:rsidR="00BB78A6" w:rsidRPr="00167322">
        <w:rPr>
          <w:i/>
          <w:sz w:val="22"/>
          <w:szCs w:val="24"/>
        </w:rPr>
        <w:t xml:space="preserve"> </w:t>
      </w:r>
      <w:r w:rsidR="00E074E6" w:rsidRPr="00167322">
        <w:rPr>
          <w:i/>
          <w:sz w:val="22"/>
          <w:szCs w:val="24"/>
        </w:rPr>
        <w:t>Quando houve quedas acentuadas de preços das habitações isso coincidiu com queda acentuada da a</w:t>
      </w:r>
      <w:r w:rsidR="00894098" w:rsidRPr="00167322">
        <w:rPr>
          <w:i/>
          <w:sz w:val="22"/>
          <w:szCs w:val="24"/>
        </w:rPr>
        <w:t>tividade econô</w:t>
      </w:r>
      <w:r w:rsidR="00E074E6" w:rsidRPr="00167322">
        <w:rPr>
          <w:i/>
          <w:sz w:val="22"/>
          <w:szCs w:val="24"/>
        </w:rPr>
        <w:t>mica e</w:t>
      </w:r>
      <w:r w:rsidR="00BB78A6" w:rsidRPr="00167322">
        <w:rPr>
          <w:i/>
          <w:sz w:val="22"/>
          <w:szCs w:val="24"/>
        </w:rPr>
        <w:t xml:space="preserve">, em </w:t>
      </w:r>
      <w:r w:rsidR="00644576" w:rsidRPr="00167322">
        <w:rPr>
          <w:i/>
          <w:sz w:val="22"/>
          <w:szCs w:val="24"/>
        </w:rPr>
        <w:t>todos os</w:t>
      </w:r>
      <w:r w:rsidR="002E2304" w:rsidRPr="00167322">
        <w:rPr>
          <w:i/>
          <w:sz w:val="22"/>
          <w:szCs w:val="24"/>
        </w:rPr>
        <w:t xml:space="preserve"> casos</w:t>
      </w:r>
      <w:r w:rsidR="00894098" w:rsidRPr="00167322">
        <w:rPr>
          <w:i/>
          <w:sz w:val="22"/>
          <w:szCs w:val="24"/>
        </w:rPr>
        <w:t>,</w:t>
      </w:r>
      <w:r w:rsidR="002E2304" w:rsidRPr="00167322">
        <w:rPr>
          <w:i/>
          <w:sz w:val="22"/>
          <w:szCs w:val="24"/>
        </w:rPr>
        <w:t xml:space="preserve"> à exceção </w:t>
      </w:r>
      <w:r w:rsidR="002E2304" w:rsidRPr="00167322">
        <w:rPr>
          <w:i/>
          <w:sz w:val="22"/>
          <w:szCs w:val="24"/>
        </w:rPr>
        <w:lastRenderedPageBreak/>
        <w:t>de um deles, desaguou em fortes</w:t>
      </w:r>
      <w:r w:rsidR="00BB78A6" w:rsidRPr="00167322">
        <w:rPr>
          <w:i/>
          <w:sz w:val="22"/>
          <w:szCs w:val="24"/>
        </w:rPr>
        <w:t xml:space="preserve"> recessões. </w:t>
      </w:r>
      <w:r w:rsidR="00822705" w:rsidRPr="00167322">
        <w:rPr>
          <w:i/>
          <w:sz w:val="22"/>
          <w:szCs w:val="24"/>
        </w:rPr>
        <w:t xml:space="preserve">Essas variações de preço nos imóveis residenciais são, </w:t>
      </w:r>
      <w:r w:rsidR="00BB78A6" w:rsidRPr="00167322">
        <w:rPr>
          <w:i/>
          <w:sz w:val="22"/>
          <w:szCs w:val="24"/>
        </w:rPr>
        <w:t xml:space="preserve">portanto, </w:t>
      </w:r>
      <w:r w:rsidR="00822705" w:rsidRPr="00167322">
        <w:rPr>
          <w:i/>
          <w:sz w:val="22"/>
          <w:szCs w:val="24"/>
        </w:rPr>
        <w:t xml:space="preserve">onerosos </w:t>
      </w:r>
      <w:r w:rsidR="002E2304" w:rsidRPr="00167322">
        <w:rPr>
          <w:i/>
          <w:sz w:val="22"/>
          <w:szCs w:val="24"/>
        </w:rPr>
        <w:t xml:space="preserve">para a </w:t>
      </w:r>
      <w:r w:rsidR="00067E57" w:rsidRPr="00167322">
        <w:rPr>
          <w:i/>
          <w:sz w:val="22"/>
          <w:szCs w:val="24"/>
        </w:rPr>
        <w:t xml:space="preserve">economia.   </w:t>
      </w:r>
      <w:r w:rsidR="00980460" w:rsidRPr="00167322">
        <w:rPr>
          <w:i/>
          <w:sz w:val="22"/>
          <w:szCs w:val="24"/>
        </w:rPr>
        <w:t>...”</w:t>
      </w:r>
    </w:p>
    <w:p w14:paraId="360A14DF" w14:textId="77777777" w:rsidR="006653A5" w:rsidRPr="00427E69" w:rsidRDefault="006653A5" w:rsidP="00CD0FEF">
      <w:pPr>
        <w:autoSpaceDE w:val="0"/>
        <w:autoSpaceDN w:val="0"/>
        <w:adjustRightInd w:val="0"/>
        <w:ind w:left="1134" w:firstLine="708"/>
        <w:rPr>
          <w:i/>
          <w:szCs w:val="24"/>
        </w:rPr>
      </w:pPr>
    </w:p>
    <w:p w14:paraId="07613806" w14:textId="491133F4" w:rsidR="00EF79C2" w:rsidRPr="008968DB" w:rsidRDefault="008968DB" w:rsidP="00CD0FEF">
      <w:pPr>
        <w:autoSpaceDE w:val="0"/>
        <w:autoSpaceDN w:val="0"/>
        <w:adjustRightInd w:val="0"/>
        <w:rPr>
          <w:rFonts w:cs="Times New Roman"/>
          <w:szCs w:val="24"/>
        </w:rPr>
      </w:pPr>
      <w:r>
        <w:rPr>
          <w:rFonts w:cs="Times New Roman"/>
          <w:szCs w:val="24"/>
        </w:rPr>
        <w:tab/>
        <w:t>O interessante aqui é que, enquanto as quedas</w:t>
      </w:r>
      <w:r w:rsidR="004C333C">
        <w:rPr>
          <w:rFonts w:cs="Times New Roman"/>
          <w:szCs w:val="24"/>
        </w:rPr>
        <w:t xml:space="preserve"> </w:t>
      </w:r>
      <w:r>
        <w:rPr>
          <w:rFonts w:cs="Times New Roman"/>
          <w:szCs w:val="24"/>
        </w:rPr>
        <w:t xml:space="preserve">acentuadas de preços </w:t>
      </w:r>
      <w:r w:rsidR="001013A7">
        <w:rPr>
          <w:rFonts w:cs="Times New Roman"/>
          <w:szCs w:val="24"/>
        </w:rPr>
        <w:t xml:space="preserve">são acompanhadas de </w:t>
      </w:r>
      <w:r>
        <w:rPr>
          <w:rFonts w:cs="Times New Roman"/>
          <w:szCs w:val="24"/>
        </w:rPr>
        <w:t xml:space="preserve">fortes recessões, apenas </w:t>
      </w:r>
      <w:r w:rsidR="004C333C">
        <w:rPr>
          <w:rFonts w:cs="Times New Roman"/>
          <w:szCs w:val="24"/>
        </w:rPr>
        <w:t>alguma coisa entre dois quintos e dois terços das elevações fortes dos preços dos imóveis residenciais</w:t>
      </w:r>
      <w:r>
        <w:rPr>
          <w:rFonts w:cs="Times New Roman"/>
          <w:szCs w:val="24"/>
        </w:rPr>
        <w:t xml:space="preserve"> </w:t>
      </w:r>
      <w:r w:rsidR="003F35BA">
        <w:rPr>
          <w:rFonts w:cs="Times New Roman"/>
          <w:szCs w:val="24"/>
        </w:rPr>
        <w:t xml:space="preserve">resultaram em recessão. </w:t>
      </w:r>
      <w:r w:rsidR="00432A61">
        <w:rPr>
          <w:rStyle w:val="Refdenotaderodap"/>
          <w:rFonts w:cs="Times New Roman"/>
          <w:szCs w:val="24"/>
        </w:rPr>
        <w:footnoteReference w:id="4"/>
      </w:r>
      <w:r w:rsidR="00432A61">
        <w:rPr>
          <w:rFonts w:cs="Times New Roman"/>
          <w:szCs w:val="24"/>
        </w:rPr>
        <w:t xml:space="preserve"> Isto é particularmente relevante quando nos remetemos à utilização dos instrumentos </w:t>
      </w:r>
      <w:r w:rsidR="001013A7">
        <w:rPr>
          <w:rFonts w:cs="Times New Roman"/>
          <w:szCs w:val="24"/>
        </w:rPr>
        <w:t xml:space="preserve">estatísticos </w:t>
      </w:r>
      <w:r w:rsidR="00432A61">
        <w:rPr>
          <w:rFonts w:cs="Times New Roman"/>
          <w:szCs w:val="24"/>
        </w:rPr>
        <w:t>demandados n</w:t>
      </w:r>
      <w:r w:rsidR="001013A7">
        <w:rPr>
          <w:rFonts w:cs="Times New Roman"/>
          <w:szCs w:val="24"/>
        </w:rPr>
        <w:t xml:space="preserve">os WP do </w:t>
      </w:r>
      <w:r w:rsidR="00432A61">
        <w:rPr>
          <w:rFonts w:cs="Times New Roman"/>
          <w:szCs w:val="24"/>
        </w:rPr>
        <w:t>BIS</w:t>
      </w:r>
      <w:r w:rsidR="00C77325">
        <w:rPr>
          <w:rFonts w:cs="Times New Roman"/>
          <w:szCs w:val="24"/>
        </w:rPr>
        <w:t xml:space="preserve">, que deveriam servir primordialmente para indicar quando a elevação de preços é </w:t>
      </w:r>
      <w:r w:rsidR="00900BFE">
        <w:rPr>
          <w:rFonts w:cs="Times New Roman"/>
          <w:szCs w:val="24"/>
        </w:rPr>
        <w:t>forte o suficiente para demandar ações de política</w:t>
      </w:r>
      <w:r w:rsidR="00536424">
        <w:rPr>
          <w:rFonts w:cs="Times New Roman"/>
          <w:szCs w:val="24"/>
        </w:rPr>
        <w:t>s</w:t>
      </w:r>
      <w:r w:rsidR="00900BFE">
        <w:rPr>
          <w:rFonts w:cs="Times New Roman"/>
          <w:szCs w:val="24"/>
        </w:rPr>
        <w:t xml:space="preserve"> econômica e/ou monetária. A queda de preços é um momento </w:t>
      </w:r>
      <w:r w:rsidR="00010BC8">
        <w:rPr>
          <w:rFonts w:cs="Times New Roman"/>
          <w:szCs w:val="24"/>
        </w:rPr>
        <w:t xml:space="preserve">adequado para que </w:t>
      </w:r>
      <w:r w:rsidR="003F414E">
        <w:rPr>
          <w:rFonts w:cs="Times New Roman"/>
          <w:szCs w:val="24"/>
        </w:rPr>
        <w:t xml:space="preserve">ações </w:t>
      </w:r>
      <w:r w:rsidR="00010BC8">
        <w:rPr>
          <w:rFonts w:cs="Times New Roman"/>
          <w:szCs w:val="24"/>
        </w:rPr>
        <w:t xml:space="preserve">dessas </w:t>
      </w:r>
      <w:r w:rsidR="003F414E">
        <w:rPr>
          <w:rFonts w:cs="Times New Roman"/>
          <w:szCs w:val="24"/>
        </w:rPr>
        <w:t>políticas</w:t>
      </w:r>
      <w:r w:rsidR="00010BC8">
        <w:rPr>
          <w:rFonts w:cs="Times New Roman"/>
          <w:szCs w:val="24"/>
        </w:rPr>
        <w:t xml:space="preserve"> sejam colocadas em prática com o objetivo de reduzir seus impactos sobre a economia e/ou sobre o sistema financeiro, inclusive </w:t>
      </w:r>
      <w:r w:rsidR="003360D6">
        <w:rPr>
          <w:rFonts w:cs="Times New Roman"/>
          <w:szCs w:val="24"/>
        </w:rPr>
        <w:t xml:space="preserve">porque a evidência dos efeitos da queda de preços </w:t>
      </w:r>
      <w:r w:rsidR="002D2E57">
        <w:rPr>
          <w:rFonts w:cs="Times New Roman"/>
          <w:szCs w:val="24"/>
        </w:rPr>
        <w:t xml:space="preserve">dos imóveis </w:t>
      </w:r>
      <w:r w:rsidR="003360D6">
        <w:rPr>
          <w:rFonts w:cs="Times New Roman"/>
          <w:szCs w:val="24"/>
        </w:rPr>
        <w:t>sobre os bancos e sobre a demanda agregada é muito mais clara do que na subida dos preços.</w:t>
      </w:r>
      <w:r w:rsidR="002D2E57">
        <w:rPr>
          <w:rFonts w:cs="Times New Roman"/>
          <w:szCs w:val="24"/>
        </w:rPr>
        <w:t xml:space="preserve"> </w:t>
      </w:r>
      <w:r w:rsidR="001013A7">
        <w:rPr>
          <w:rFonts w:cs="Times New Roman"/>
          <w:szCs w:val="24"/>
        </w:rPr>
        <w:t>Quando isso ocorre h</w:t>
      </w:r>
      <w:r w:rsidR="002722CF">
        <w:rPr>
          <w:rFonts w:cs="Times New Roman"/>
          <w:szCs w:val="24"/>
        </w:rPr>
        <w:t>á muito mais sinalizações da insatisfação do</w:t>
      </w:r>
      <w:r w:rsidR="002D2E57">
        <w:rPr>
          <w:rFonts w:cs="Times New Roman"/>
          <w:szCs w:val="24"/>
        </w:rPr>
        <w:t xml:space="preserve">s prejudicados nesta fase do ciclo, do </w:t>
      </w:r>
      <w:r w:rsidR="002722CF">
        <w:rPr>
          <w:rFonts w:cs="Times New Roman"/>
          <w:szCs w:val="24"/>
        </w:rPr>
        <w:t xml:space="preserve">que </w:t>
      </w:r>
      <w:r w:rsidR="001013A7">
        <w:rPr>
          <w:rFonts w:cs="Times New Roman"/>
          <w:szCs w:val="24"/>
        </w:rPr>
        <w:t xml:space="preserve">possíveis </w:t>
      </w:r>
      <w:r w:rsidR="002722CF">
        <w:rPr>
          <w:rFonts w:cs="Times New Roman"/>
          <w:szCs w:val="24"/>
        </w:rPr>
        <w:t>sinalizações</w:t>
      </w:r>
      <w:r w:rsidR="003F414E">
        <w:rPr>
          <w:rFonts w:cs="Times New Roman"/>
          <w:szCs w:val="24"/>
        </w:rPr>
        <w:t xml:space="preserve"> positivas</w:t>
      </w:r>
      <w:r w:rsidR="002722CF">
        <w:rPr>
          <w:rFonts w:cs="Times New Roman"/>
          <w:szCs w:val="24"/>
        </w:rPr>
        <w:t xml:space="preserve"> </w:t>
      </w:r>
      <w:r w:rsidR="001013A7">
        <w:rPr>
          <w:rFonts w:cs="Times New Roman"/>
          <w:szCs w:val="24"/>
        </w:rPr>
        <w:t xml:space="preserve">emitidas pelos </w:t>
      </w:r>
      <w:r w:rsidR="002722CF">
        <w:rPr>
          <w:rFonts w:cs="Times New Roman"/>
          <w:szCs w:val="24"/>
        </w:rPr>
        <w:t xml:space="preserve">beneficiados pelo aumento de preço e </w:t>
      </w:r>
      <w:r w:rsidR="003F414E">
        <w:rPr>
          <w:rFonts w:cs="Times New Roman"/>
          <w:szCs w:val="24"/>
        </w:rPr>
        <w:t xml:space="preserve">aumento da </w:t>
      </w:r>
      <w:r w:rsidR="002722CF">
        <w:rPr>
          <w:rFonts w:cs="Times New Roman"/>
          <w:szCs w:val="24"/>
        </w:rPr>
        <w:t>demanda por imóveis na fase a</w:t>
      </w:r>
      <w:r w:rsidR="006469D7">
        <w:rPr>
          <w:rFonts w:cs="Times New Roman"/>
          <w:szCs w:val="24"/>
        </w:rPr>
        <w:t>s</w:t>
      </w:r>
      <w:r w:rsidR="002722CF">
        <w:rPr>
          <w:rFonts w:cs="Times New Roman"/>
          <w:szCs w:val="24"/>
        </w:rPr>
        <w:t>cendente do ciclo.</w:t>
      </w:r>
      <w:r w:rsidR="002D2E57">
        <w:rPr>
          <w:rFonts w:cs="Times New Roman"/>
          <w:szCs w:val="24"/>
        </w:rPr>
        <w:t xml:space="preserve"> O </w:t>
      </w:r>
      <w:r w:rsidR="006469D7">
        <w:rPr>
          <w:rFonts w:cs="Times New Roman"/>
          <w:szCs w:val="24"/>
        </w:rPr>
        <w:t xml:space="preserve">grande </w:t>
      </w:r>
      <w:r w:rsidR="002D2E57">
        <w:rPr>
          <w:rFonts w:cs="Times New Roman"/>
          <w:szCs w:val="24"/>
        </w:rPr>
        <w:t>problema reside em identificar</w:t>
      </w:r>
      <w:r w:rsidR="006469D7">
        <w:rPr>
          <w:rFonts w:cs="Times New Roman"/>
          <w:szCs w:val="24"/>
        </w:rPr>
        <w:t xml:space="preserve"> momentos e medições que indiquem que </w:t>
      </w:r>
      <w:r w:rsidR="00BD5ADC">
        <w:rPr>
          <w:rFonts w:cs="Times New Roman"/>
          <w:szCs w:val="24"/>
        </w:rPr>
        <w:t xml:space="preserve">devam ser tomadas providências que atenuem um ciclo de alta de preços e de demanda por imóveis que poderia resultar em uma “bolha”. </w:t>
      </w:r>
    </w:p>
    <w:p w14:paraId="49E4C160" w14:textId="5F4F4D9E" w:rsidR="00167322" w:rsidRDefault="00E95C75" w:rsidP="00CD0FEF">
      <w:pPr>
        <w:autoSpaceDE w:val="0"/>
        <w:autoSpaceDN w:val="0"/>
        <w:adjustRightInd w:val="0"/>
        <w:rPr>
          <w:rFonts w:cs="Times New Roman"/>
          <w:szCs w:val="24"/>
        </w:rPr>
      </w:pPr>
      <w:r>
        <w:rPr>
          <w:rFonts w:cs="Times New Roman"/>
          <w:szCs w:val="24"/>
        </w:rPr>
        <w:tab/>
      </w:r>
      <w:r w:rsidR="00D311D8">
        <w:rPr>
          <w:rFonts w:cs="Times New Roman"/>
          <w:szCs w:val="24"/>
        </w:rPr>
        <w:t>Há naquela citação</w:t>
      </w:r>
      <w:r w:rsidR="003F414E">
        <w:rPr>
          <w:rFonts w:cs="Times New Roman"/>
          <w:szCs w:val="24"/>
        </w:rPr>
        <w:t xml:space="preserve"> acima</w:t>
      </w:r>
      <w:r w:rsidR="00D311D8">
        <w:rPr>
          <w:rFonts w:cs="Times New Roman"/>
          <w:szCs w:val="24"/>
        </w:rPr>
        <w:t xml:space="preserve"> uma</w:t>
      </w:r>
      <w:r>
        <w:rPr>
          <w:rFonts w:cs="Times New Roman"/>
          <w:szCs w:val="24"/>
        </w:rPr>
        <w:t xml:space="preserve"> afirmação que pode ser </w:t>
      </w:r>
      <w:r w:rsidR="003C488D">
        <w:rPr>
          <w:rFonts w:cs="Times New Roman"/>
          <w:szCs w:val="24"/>
        </w:rPr>
        <w:t xml:space="preserve">muito </w:t>
      </w:r>
      <w:r>
        <w:rPr>
          <w:rFonts w:cs="Times New Roman"/>
          <w:szCs w:val="24"/>
        </w:rPr>
        <w:t xml:space="preserve">útil no contexto brasileiro recente, e, em especial para </w:t>
      </w:r>
      <w:r w:rsidR="00D311D8">
        <w:rPr>
          <w:rFonts w:cs="Times New Roman"/>
          <w:szCs w:val="24"/>
        </w:rPr>
        <w:t>este</w:t>
      </w:r>
      <w:r>
        <w:rPr>
          <w:rFonts w:cs="Times New Roman"/>
          <w:szCs w:val="24"/>
        </w:rPr>
        <w:t xml:space="preserve"> período no qual foram intensas as discussões sobre a existência ou não de uma “bolha”</w:t>
      </w:r>
      <w:r w:rsidR="00BF7BBB">
        <w:rPr>
          <w:rFonts w:cs="Times New Roman"/>
          <w:szCs w:val="24"/>
        </w:rPr>
        <w:t xml:space="preserve"> no mercado imobiliário</w:t>
      </w:r>
      <w:r w:rsidR="00CA62B6">
        <w:rPr>
          <w:rFonts w:cs="Times New Roman"/>
          <w:szCs w:val="24"/>
        </w:rPr>
        <w:t>. Refiro-me à</w:t>
      </w:r>
      <w:r w:rsidR="003C488D">
        <w:rPr>
          <w:rFonts w:cs="Times New Roman"/>
          <w:szCs w:val="24"/>
        </w:rPr>
        <w:t xml:space="preserve"> conclusão do autor </w:t>
      </w:r>
      <w:r w:rsidR="00CA62B6">
        <w:rPr>
          <w:rFonts w:cs="Times New Roman"/>
          <w:szCs w:val="24"/>
        </w:rPr>
        <w:t xml:space="preserve">quando afirma </w:t>
      </w:r>
      <w:r w:rsidR="003C488D">
        <w:rPr>
          <w:rFonts w:cs="Times New Roman"/>
          <w:szCs w:val="24"/>
        </w:rPr>
        <w:t>que</w:t>
      </w:r>
    </w:p>
    <w:p w14:paraId="65CB4A9D" w14:textId="77777777" w:rsidR="00167322" w:rsidRPr="00167322" w:rsidRDefault="00167322" w:rsidP="00CD0FEF">
      <w:pPr>
        <w:autoSpaceDE w:val="0"/>
        <w:autoSpaceDN w:val="0"/>
        <w:adjustRightInd w:val="0"/>
        <w:ind w:left="1134"/>
        <w:rPr>
          <w:rFonts w:cs="Times New Roman"/>
          <w:sz w:val="22"/>
          <w:szCs w:val="24"/>
        </w:rPr>
      </w:pPr>
      <w:r w:rsidRPr="00167322">
        <w:rPr>
          <w:rFonts w:cs="Times New Roman"/>
          <w:sz w:val="22"/>
          <w:szCs w:val="24"/>
        </w:rPr>
        <w:t>“...</w:t>
      </w:r>
      <w:r w:rsidR="003C488D" w:rsidRPr="00167322">
        <w:rPr>
          <w:rFonts w:cs="Times New Roman"/>
          <w:i/>
          <w:sz w:val="22"/>
          <w:szCs w:val="24"/>
        </w:rPr>
        <w:t>as elevações de preços mais alongadas (acima de dois anos) não são um bom indicador para a existência de uma recessão à frente</w:t>
      </w:r>
      <w:r w:rsidR="00BF7BBB" w:rsidRPr="00167322">
        <w:rPr>
          <w:rFonts w:cs="Times New Roman"/>
          <w:i/>
          <w:sz w:val="22"/>
          <w:szCs w:val="24"/>
        </w:rPr>
        <w:t>, enquanto a r</w:t>
      </w:r>
      <w:r w:rsidR="00646C30" w:rsidRPr="00167322">
        <w:rPr>
          <w:rFonts w:cs="Times New Roman"/>
          <w:i/>
          <w:sz w:val="22"/>
          <w:szCs w:val="24"/>
        </w:rPr>
        <w:t>ápida s</w:t>
      </w:r>
      <w:r w:rsidR="00BF7BBB" w:rsidRPr="00167322">
        <w:rPr>
          <w:rFonts w:cs="Times New Roman"/>
          <w:i/>
          <w:sz w:val="22"/>
          <w:szCs w:val="24"/>
        </w:rPr>
        <w:t>ubida dos preços e</w:t>
      </w:r>
      <w:r w:rsidR="00646C30" w:rsidRPr="00167322">
        <w:rPr>
          <w:rFonts w:cs="Times New Roman"/>
          <w:i/>
          <w:sz w:val="22"/>
          <w:szCs w:val="24"/>
        </w:rPr>
        <w:t xml:space="preserve">m períodos de dois anos ou menos parecem ser um </w:t>
      </w:r>
      <w:r w:rsidR="0001555B" w:rsidRPr="00167322">
        <w:rPr>
          <w:rFonts w:cs="Times New Roman"/>
          <w:i/>
          <w:sz w:val="22"/>
          <w:szCs w:val="24"/>
        </w:rPr>
        <w:t xml:space="preserve">melhor </w:t>
      </w:r>
      <w:r w:rsidR="00646C30" w:rsidRPr="00167322">
        <w:rPr>
          <w:rFonts w:cs="Times New Roman"/>
          <w:i/>
          <w:sz w:val="22"/>
          <w:szCs w:val="24"/>
        </w:rPr>
        <w:t>indicador</w:t>
      </w:r>
      <w:r w:rsidR="003C488D" w:rsidRPr="00167322">
        <w:rPr>
          <w:rFonts w:cs="Times New Roman"/>
          <w:i/>
          <w:sz w:val="22"/>
          <w:szCs w:val="24"/>
        </w:rPr>
        <w:t>.</w:t>
      </w:r>
      <w:r w:rsidRPr="00167322">
        <w:rPr>
          <w:rFonts w:cs="Times New Roman"/>
          <w:sz w:val="22"/>
          <w:szCs w:val="24"/>
        </w:rPr>
        <w:t>”</w:t>
      </w:r>
      <w:r w:rsidR="0001555B" w:rsidRPr="00167322">
        <w:rPr>
          <w:rFonts w:cs="Times New Roman"/>
          <w:sz w:val="22"/>
          <w:szCs w:val="24"/>
        </w:rPr>
        <w:t xml:space="preserve"> </w:t>
      </w:r>
      <w:r w:rsidRPr="00167322">
        <w:rPr>
          <w:rFonts w:cs="Times New Roman"/>
          <w:sz w:val="22"/>
          <w:szCs w:val="24"/>
        </w:rPr>
        <w:t xml:space="preserve"> </w:t>
      </w:r>
    </w:p>
    <w:p w14:paraId="1B0EA18F" w14:textId="77777777" w:rsidR="00167322" w:rsidRDefault="00167322" w:rsidP="00CD0FEF">
      <w:pPr>
        <w:autoSpaceDE w:val="0"/>
        <w:autoSpaceDN w:val="0"/>
        <w:adjustRightInd w:val="0"/>
        <w:rPr>
          <w:rFonts w:cs="Times New Roman"/>
          <w:szCs w:val="24"/>
        </w:rPr>
      </w:pPr>
    </w:p>
    <w:p w14:paraId="37AEFC85" w14:textId="2C8676C9" w:rsidR="00EF79C2" w:rsidRDefault="0001555B" w:rsidP="00CD0FEF">
      <w:pPr>
        <w:autoSpaceDE w:val="0"/>
        <w:autoSpaceDN w:val="0"/>
        <w:adjustRightInd w:val="0"/>
        <w:ind w:firstLine="708"/>
        <w:rPr>
          <w:rFonts w:cs="Times New Roman"/>
          <w:szCs w:val="24"/>
        </w:rPr>
      </w:pPr>
      <w:r>
        <w:rPr>
          <w:rFonts w:cs="Times New Roman"/>
          <w:szCs w:val="24"/>
        </w:rPr>
        <w:t xml:space="preserve">No nosso caso, claramente tivemos uma subida de preços de muitos anos, que, como foi apontado em várias ocasiões, foram o resultado de uma </w:t>
      </w:r>
      <w:r w:rsidR="00354BD4">
        <w:rPr>
          <w:rFonts w:cs="Times New Roman"/>
          <w:szCs w:val="24"/>
        </w:rPr>
        <w:t xml:space="preserve">prévia </w:t>
      </w:r>
      <w:r>
        <w:rPr>
          <w:rFonts w:cs="Times New Roman"/>
          <w:szCs w:val="24"/>
        </w:rPr>
        <w:t>ausência crônica</w:t>
      </w:r>
      <w:r w:rsidR="00354BD4">
        <w:rPr>
          <w:rFonts w:cs="Times New Roman"/>
          <w:szCs w:val="24"/>
        </w:rPr>
        <w:t xml:space="preserve"> </w:t>
      </w:r>
      <w:r>
        <w:rPr>
          <w:rFonts w:cs="Times New Roman"/>
          <w:szCs w:val="24"/>
        </w:rPr>
        <w:t xml:space="preserve">de </w:t>
      </w:r>
      <w:r w:rsidR="00354BD4">
        <w:rPr>
          <w:rFonts w:cs="Times New Roman"/>
          <w:szCs w:val="24"/>
        </w:rPr>
        <w:t xml:space="preserve">financiamento imobiliário, sucedida por uma oferta inédita de </w:t>
      </w:r>
      <w:r w:rsidR="00AB1ED3">
        <w:rPr>
          <w:rFonts w:cs="Times New Roman"/>
          <w:szCs w:val="24"/>
        </w:rPr>
        <w:t xml:space="preserve">crédito. </w:t>
      </w:r>
      <w:r w:rsidR="00981006">
        <w:rPr>
          <w:rFonts w:cs="Times New Roman"/>
          <w:szCs w:val="24"/>
        </w:rPr>
        <w:t xml:space="preserve">O aumento de preços que se sucedeu a isso teria tido um caráter de ajuste, mais do que a formação de uma “bolha”. </w:t>
      </w:r>
      <w:r w:rsidR="00DD03FD">
        <w:rPr>
          <w:rFonts w:cs="Times New Roman"/>
          <w:szCs w:val="24"/>
        </w:rPr>
        <w:t xml:space="preserve">Com o alongamento dos prazos e a queda dos juros que marcou o período pós 2005, o valor das prestações </w:t>
      </w:r>
      <w:r w:rsidR="00E75E4A">
        <w:rPr>
          <w:rFonts w:cs="Times New Roman"/>
          <w:szCs w:val="24"/>
        </w:rPr>
        <w:t xml:space="preserve">ao longo do processo </w:t>
      </w:r>
      <w:r w:rsidR="00DD03FD">
        <w:rPr>
          <w:rFonts w:cs="Times New Roman"/>
          <w:szCs w:val="24"/>
        </w:rPr>
        <w:t>permaneceu com</w:t>
      </w:r>
      <w:r w:rsidR="003E5870">
        <w:rPr>
          <w:rFonts w:cs="Times New Roman"/>
          <w:szCs w:val="24"/>
        </w:rPr>
        <w:t>o</w:t>
      </w:r>
      <w:r w:rsidR="00DD03FD">
        <w:rPr>
          <w:rFonts w:cs="Times New Roman"/>
          <w:szCs w:val="24"/>
        </w:rPr>
        <w:t xml:space="preserve"> um percentual relativamente estável da renda das pessoas,</w:t>
      </w:r>
      <w:r w:rsidR="0084529F">
        <w:rPr>
          <w:rFonts w:cs="Times New Roman"/>
          <w:szCs w:val="24"/>
        </w:rPr>
        <w:t xml:space="preserve"> caracterizando um ajuste nos preços que não caracterizou um bloqueio ao acesso de financiamento </w:t>
      </w:r>
      <w:r w:rsidR="003073B5">
        <w:rPr>
          <w:rFonts w:cs="Times New Roman"/>
          <w:szCs w:val="24"/>
        </w:rPr>
        <w:t>imobiliário, e portanto</w:t>
      </w:r>
      <w:r w:rsidR="003B3164">
        <w:rPr>
          <w:rFonts w:cs="Times New Roman"/>
          <w:szCs w:val="24"/>
        </w:rPr>
        <w:t>, contribuindo para a</w:t>
      </w:r>
      <w:r w:rsidR="003073B5">
        <w:rPr>
          <w:rFonts w:cs="Times New Roman"/>
          <w:szCs w:val="24"/>
        </w:rPr>
        <w:t xml:space="preserve"> desautoriza</w:t>
      </w:r>
      <w:r w:rsidR="003B3164">
        <w:rPr>
          <w:rFonts w:cs="Times New Roman"/>
          <w:szCs w:val="24"/>
        </w:rPr>
        <w:t xml:space="preserve">ção de </w:t>
      </w:r>
      <w:r w:rsidR="003073B5">
        <w:rPr>
          <w:rFonts w:cs="Times New Roman"/>
          <w:szCs w:val="24"/>
        </w:rPr>
        <w:t xml:space="preserve">uma interpretação </w:t>
      </w:r>
      <w:r w:rsidR="00DD03FD">
        <w:rPr>
          <w:rFonts w:cs="Times New Roman"/>
          <w:szCs w:val="24"/>
        </w:rPr>
        <w:t xml:space="preserve"> </w:t>
      </w:r>
      <w:r w:rsidR="003073B5">
        <w:rPr>
          <w:rFonts w:cs="Times New Roman"/>
          <w:szCs w:val="24"/>
        </w:rPr>
        <w:t>favorável a “bolhas”.</w:t>
      </w:r>
    </w:p>
    <w:p w14:paraId="27CF11A6" w14:textId="77777777" w:rsidR="003073B5" w:rsidRDefault="003073B5" w:rsidP="00CD0FEF">
      <w:pPr>
        <w:autoSpaceDE w:val="0"/>
        <w:autoSpaceDN w:val="0"/>
        <w:adjustRightInd w:val="0"/>
        <w:ind w:firstLine="708"/>
        <w:rPr>
          <w:rFonts w:cs="Times New Roman"/>
          <w:szCs w:val="24"/>
        </w:rPr>
      </w:pPr>
    </w:p>
    <w:p w14:paraId="159F8907" w14:textId="33140365" w:rsidR="003B3164" w:rsidRPr="00436027" w:rsidRDefault="00962DF1" w:rsidP="00962DF1">
      <w:pPr>
        <w:pStyle w:val="Ttulo2"/>
        <w:rPr>
          <w:rFonts w:ascii="Times New Roman" w:hAnsi="Times New Roman" w:cs="Times New Roman"/>
          <w:color w:val="auto"/>
          <w:sz w:val="24"/>
          <w:szCs w:val="24"/>
        </w:rPr>
      </w:pPr>
      <w:bookmarkStart w:id="6" w:name="_Toc424741951"/>
      <w:r w:rsidRPr="00436027">
        <w:rPr>
          <w:rFonts w:ascii="Times New Roman" w:hAnsi="Times New Roman" w:cs="Times New Roman"/>
          <w:color w:val="auto"/>
          <w:sz w:val="24"/>
          <w:szCs w:val="24"/>
        </w:rPr>
        <w:t xml:space="preserve">3.2 </w:t>
      </w:r>
      <w:r w:rsidR="00175C61" w:rsidRPr="00436027">
        <w:rPr>
          <w:rFonts w:ascii="Times New Roman" w:hAnsi="Times New Roman" w:cs="Times New Roman"/>
          <w:color w:val="auto"/>
          <w:sz w:val="24"/>
          <w:szCs w:val="24"/>
        </w:rPr>
        <w:t>Contribuição do setor financeiro</w:t>
      </w:r>
      <w:r w:rsidR="005A48BA" w:rsidRPr="00436027">
        <w:rPr>
          <w:rFonts w:ascii="Times New Roman" w:hAnsi="Times New Roman" w:cs="Times New Roman"/>
          <w:color w:val="auto"/>
          <w:sz w:val="24"/>
          <w:szCs w:val="24"/>
        </w:rPr>
        <w:t xml:space="preserve"> </w:t>
      </w:r>
      <w:r w:rsidR="00175C61" w:rsidRPr="00436027">
        <w:rPr>
          <w:rFonts w:ascii="Times New Roman" w:hAnsi="Times New Roman" w:cs="Times New Roman"/>
          <w:color w:val="auto"/>
          <w:sz w:val="24"/>
          <w:szCs w:val="24"/>
        </w:rPr>
        <w:t>para o ciclo imobil</w:t>
      </w:r>
      <w:r w:rsidR="0000630A" w:rsidRPr="00436027">
        <w:rPr>
          <w:rFonts w:ascii="Times New Roman" w:hAnsi="Times New Roman" w:cs="Times New Roman"/>
          <w:color w:val="auto"/>
          <w:sz w:val="24"/>
          <w:szCs w:val="24"/>
        </w:rPr>
        <w:t>i</w:t>
      </w:r>
      <w:r w:rsidR="00175C61" w:rsidRPr="00436027">
        <w:rPr>
          <w:rFonts w:ascii="Times New Roman" w:hAnsi="Times New Roman" w:cs="Times New Roman"/>
          <w:color w:val="auto"/>
          <w:sz w:val="24"/>
          <w:szCs w:val="24"/>
        </w:rPr>
        <w:t>ário</w:t>
      </w:r>
      <w:bookmarkEnd w:id="6"/>
    </w:p>
    <w:p w14:paraId="28E807A3" w14:textId="705B51E0" w:rsidR="00225C0C" w:rsidRPr="00175C61" w:rsidRDefault="001C0A5B" w:rsidP="00CD0FEF">
      <w:pPr>
        <w:autoSpaceDE w:val="0"/>
        <w:autoSpaceDN w:val="0"/>
        <w:adjustRightInd w:val="0"/>
        <w:ind w:firstLine="708"/>
        <w:rPr>
          <w:szCs w:val="24"/>
        </w:rPr>
      </w:pPr>
      <w:r w:rsidRPr="00175C61">
        <w:rPr>
          <w:szCs w:val="24"/>
        </w:rPr>
        <w:t>As oscilações de preços, resultantes do descompasso natural entre oferta e demanda</w:t>
      </w:r>
      <w:r w:rsidR="004E284F" w:rsidRPr="00175C61">
        <w:rPr>
          <w:szCs w:val="24"/>
        </w:rPr>
        <w:t xml:space="preserve">, </w:t>
      </w:r>
      <w:r w:rsidR="00B64A6A" w:rsidRPr="00175C61">
        <w:rPr>
          <w:szCs w:val="24"/>
        </w:rPr>
        <w:t xml:space="preserve">durante o </w:t>
      </w:r>
      <w:r w:rsidR="004E284F" w:rsidRPr="00175C61">
        <w:rPr>
          <w:szCs w:val="24"/>
        </w:rPr>
        <w:t xml:space="preserve">ciclo </w:t>
      </w:r>
      <w:r w:rsidR="00B64A6A" w:rsidRPr="00175C61">
        <w:rPr>
          <w:szCs w:val="24"/>
        </w:rPr>
        <w:t>de produção de imóveis,</w:t>
      </w:r>
      <w:r w:rsidRPr="00175C61">
        <w:rPr>
          <w:szCs w:val="24"/>
        </w:rPr>
        <w:t xml:space="preserve"> </w:t>
      </w:r>
      <w:r w:rsidR="0000005C" w:rsidRPr="00175C61">
        <w:rPr>
          <w:szCs w:val="24"/>
        </w:rPr>
        <w:t xml:space="preserve">são </w:t>
      </w:r>
      <w:r w:rsidRPr="00175C61">
        <w:rPr>
          <w:szCs w:val="24"/>
        </w:rPr>
        <w:t>exacerbad</w:t>
      </w:r>
      <w:r w:rsidR="0000005C" w:rsidRPr="00175C61">
        <w:rPr>
          <w:szCs w:val="24"/>
        </w:rPr>
        <w:t>as</w:t>
      </w:r>
      <w:r w:rsidRPr="00175C61">
        <w:rPr>
          <w:szCs w:val="24"/>
        </w:rPr>
        <w:t xml:space="preserve"> com a entrada do setor financeiro nesse </w:t>
      </w:r>
      <w:r w:rsidR="00190A09" w:rsidRPr="00175C61">
        <w:rPr>
          <w:szCs w:val="24"/>
        </w:rPr>
        <w:t>processo</w:t>
      </w:r>
      <w:r w:rsidRPr="00175C61">
        <w:rPr>
          <w:szCs w:val="24"/>
        </w:rPr>
        <w:t xml:space="preserve">. </w:t>
      </w:r>
      <w:r w:rsidR="00070003" w:rsidRPr="00175C61">
        <w:rPr>
          <w:szCs w:val="24"/>
        </w:rPr>
        <w:t>Esse proce</w:t>
      </w:r>
      <w:r w:rsidR="00AE518E" w:rsidRPr="00175C61">
        <w:rPr>
          <w:szCs w:val="24"/>
        </w:rPr>
        <w:t>ss</w:t>
      </w:r>
      <w:r w:rsidR="00070003" w:rsidRPr="00175C61">
        <w:rPr>
          <w:szCs w:val="24"/>
        </w:rPr>
        <w:t xml:space="preserve">o de exacerbação é descrito em mais de um artigo dos </w:t>
      </w:r>
      <w:proofErr w:type="spellStart"/>
      <w:r w:rsidR="00070003" w:rsidRPr="00175C61">
        <w:rPr>
          <w:szCs w:val="24"/>
        </w:rPr>
        <w:t>WPs</w:t>
      </w:r>
      <w:proofErr w:type="spellEnd"/>
      <w:r w:rsidR="00070003" w:rsidRPr="00175C61">
        <w:rPr>
          <w:szCs w:val="24"/>
        </w:rPr>
        <w:t xml:space="preserve">. </w:t>
      </w:r>
      <w:r w:rsidR="00BE1C44" w:rsidRPr="00175C61">
        <w:rPr>
          <w:szCs w:val="24"/>
        </w:rPr>
        <w:t>Em especial</w:t>
      </w:r>
      <w:r w:rsidR="00FC159F">
        <w:rPr>
          <w:szCs w:val="24"/>
        </w:rPr>
        <w:t>,</w:t>
      </w:r>
      <w:r w:rsidR="00BE1C44" w:rsidRPr="00175C61">
        <w:rPr>
          <w:szCs w:val="24"/>
        </w:rPr>
        <w:t xml:space="preserve"> são destacadas as </w:t>
      </w:r>
      <w:r w:rsidR="004925F7" w:rsidRPr="00175C61">
        <w:rPr>
          <w:szCs w:val="24"/>
        </w:rPr>
        <w:t>ligações</w:t>
      </w:r>
      <w:r w:rsidR="00BE1C44" w:rsidRPr="00175C61">
        <w:rPr>
          <w:szCs w:val="24"/>
        </w:rPr>
        <w:t xml:space="preserve"> entre a valorização dos imóveis e o aumento dos investimentos </w:t>
      </w:r>
      <w:r w:rsidR="00A6480B" w:rsidRPr="00175C61">
        <w:rPr>
          <w:szCs w:val="24"/>
        </w:rPr>
        <w:t>o</w:t>
      </w:r>
      <w:r w:rsidR="00BE1C44" w:rsidRPr="00175C61">
        <w:rPr>
          <w:szCs w:val="24"/>
        </w:rPr>
        <w:t>casionado pelo aumento de recursos financiados</w:t>
      </w:r>
      <w:r w:rsidR="00A6480B" w:rsidRPr="00175C61">
        <w:rPr>
          <w:szCs w:val="24"/>
        </w:rPr>
        <w:t xml:space="preserve">, </w:t>
      </w:r>
      <w:r w:rsidR="004E7E83" w:rsidRPr="00175C61">
        <w:rPr>
          <w:szCs w:val="24"/>
        </w:rPr>
        <w:t xml:space="preserve">realimentando </w:t>
      </w:r>
      <w:r w:rsidR="00405C09" w:rsidRPr="00175C61">
        <w:rPr>
          <w:szCs w:val="24"/>
        </w:rPr>
        <w:t>ess</w:t>
      </w:r>
      <w:r w:rsidR="004E7E83" w:rsidRPr="00175C61">
        <w:rPr>
          <w:szCs w:val="24"/>
        </w:rPr>
        <w:t>a valorização</w:t>
      </w:r>
      <w:r w:rsidR="00405C09" w:rsidRPr="00175C61">
        <w:rPr>
          <w:szCs w:val="24"/>
        </w:rPr>
        <w:t xml:space="preserve">, </w:t>
      </w:r>
      <w:r w:rsidR="00A6480B" w:rsidRPr="00175C61">
        <w:rPr>
          <w:szCs w:val="24"/>
        </w:rPr>
        <w:t>com a</w:t>
      </w:r>
      <w:r w:rsidR="004E7E83" w:rsidRPr="00175C61">
        <w:rPr>
          <w:szCs w:val="24"/>
        </w:rPr>
        <w:t xml:space="preserve"> perspectiva</w:t>
      </w:r>
      <w:r w:rsidR="00A6480B" w:rsidRPr="00175C61">
        <w:rPr>
          <w:szCs w:val="24"/>
        </w:rPr>
        <w:t xml:space="preserve"> </w:t>
      </w:r>
      <w:r w:rsidR="004E7E83" w:rsidRPr="00175C61">
        <w:rPr>
          <w:szCs w:val="24"/>
        </w:rPr>
        <w:t xml:space="preserve">de </w:t>
      </w:r>
      <w:r w:rsidR="00A6480B" w:rsidRPr="00175C61">
        <w:rPr>
          <w:szCs w:val="24"/>
        </w:rPr>
        <w:t xml:space="preserve">continuada </w:t>
      </w:r>
      <w:r w:rsidR="004E7E83" w:rsidRPr="00175C61">
        <w:rPr>
          <w:szCs w:val="24"/>
        </w:rPr>
        <w:t>valorização futura</w:t>
      </w:r>
      <w:r w:rsidR="00A6480B" w:rsidRPr="00175C61">
        <w:rPr>
          <w:szCs w:val="24"/>
        </w:rPr>
        <w:t>,</w:t>
      </w:r>
      <w:r w:rsidR="004E7E83" w:rsidRPr="00175C61">
        <w:rPr>
          <w:szCs w:val="24"/>
        </w:rPr>
        <w:t xml:space="preserve"> </w:t>
      </w:r>
      <w:r w:rsidR="00A50A53" w:rsidRPr="00175C61">
        <w:rPr>
          <w:szCs w:val="24"/>
        </w:rPr>
        <w:t>induzida pela</w:t>
      </w:r>
      <w:r w:rsidR="004E7E83" w:rsidRPr="00175C61">
        <w:rPr>
          <w:szCs w:val="24"/>
        </w:rPr>
        <w:t xml:space="preserve"> valorização passada</w:t>
      </w:r>
      <w:r w:rsidR="00A50A53" w:rsidRPr="00175C61">
        <w:rPr>
          <w:szCs w:val="24"/>
        </w:rPr>
        <w:t>.</w:t>
      </w:r>
      <w:r w:rsidR="004E7E83" w:rsidRPr="00175C61">
        <w:rPr>
          <w:szCs w:val="24"/>
        </w:rPr>
        <w:t xml:space="preserve"> </w:t>
      </w:r>
    </w:p>
    <w:p w14:paraId="6879C96F" w14:textId="77777777" w:rsidR="008B637D" w:rsidRPr="00175C61" w:rsidRDefault="00225C0C" w:rsidP="00CD0FEF">
      <w:pPr>
        <w:autoSpaceDE w:val="0"/>
        <w:autoSpaceDN w:val="0"/>
        <w:adjustRightInd w:val="0"/>
        <w:ind w:firstLine="708"/>
        <w:rPr>
          <w:rFonts w:cs="Times New Roman"/>
          <w:szCs w:val="24"/>
        </w:rPr>
      </w:pPr>
      <w:r w:rsidRPr="00175C61">
        <w:rPr>
          <w:rFonts w:cs="Times New Roman"/>
          <w:szCs w:val="24"/>
        </w:rPr>
        <w:t>Nas palavras de</w:t>
      </w:r>
      <w:r w:rsidR="008B637D" w:rsidRPr="00175C61">
        <w:rPr>
          <w:rFonts w:cs="Times New Roman"/>
          <w:szCs w:val="24"/>
        </w:rPr>
        <w:t xml:space="preserve"> Case, B. e </w:t>
      </w:r>
      <w:proofErr w:type="spellStart"/>
      <w:r w:rsidR="008B637D" w:rsidRPr="00175C61">
        <w:rPr>
          <w:rFonts w:cs="Times New Roman"/>
          <w:szCs w:val="24"/>
        </w:rPr>
        <w:t>Wachter</w:t>
      </w:r>
      <w:proofErr w:type="spellEnd"/>
      <w:r w:rsidR="008B637D" w:rsidRPr="00175C61">
        <w:rPr>
          <w:rFonts w:cs="Times New Roman"/>
          <w:szCs w:val="24"/>
        </w:rPr>
        <w:t>, S.</w:t>
      </w:r>
      <w:r w:rsidR="00E71490" w:rsidRPr="00175C61">
        <w:rPr>
          <w:rFonts w:cs="Times New Roman"/>
          <w:szCs w:val="24"/>
        </w:rPr>
        <w:t>:</w:t>
      </w:r>
    </w:p>
    <w:p w14:paraId="2331A3A2" w14:textId="6972E603" w:rsidR="00C777CA" w:rsidRPr="00175C61" w:rsidRDefault="00824E86" w:rsidP="00CD0FEF">
      <w:pPr>
        <w:autoSpaceDE w:val="0"/>
        <w:autoSpaceDN w:val="0"/>
        <w:adjustRightInd w:val="0"/>
        <w:ind w:firstLine="708"/>
        <w:rPr>
          <w:i/>
          <w:szCs w:val="24"/>
        </w:rPr>
      </w:pPr>
      <w:r w:rsidRPr="00175C61">
        <w:rPr>
          <w:i/>
          <w:szCs w:val="24"/>
        </w:rPr>
        <w:t xml:space="preserve">“A movimentação de capitais em direção aos investimentos em </w:t>
      </w:r>
      <w:r w:rsidRPr="00175C61">
        <w:rPr>
          <w:szCs w:val="24"/>
        </w:rPr>
        <w:t xml:space="preserve">real </w:t>
      </w:r>
      <w:proofErr w:type="spellStart"/>
      <w:r w:rsidRPr="00175C61">
        <w:rPr>
          <w:szCs w:val="24"/>
        </w:rPr>
        <w:t>estate</w:t>
      </w:r>
      <w:proofErr w:type="spellEnd"/>
      <w:r w:rsidRPr="00175C61">
        <w:rPr>
          <w:i/>
          <w:szCs w:val="24"/>
        </w:rPr>
        <w:t xml:space="preserve"> tende a atrair o capital dos bancos, que passam a colocar seu</w:t>
      </w:r>
      <w:r w:rsidR="0090406A" w:rsidRPr="00175C61">
        <w:rPr>
          <w:i/>
          <w:szCs w:val="24"/>
        </w:rPr>
        <w:t xml:space="preserve"> capital</w:t>
      </w:r>
      <w:r w:rsidRPr="00175C61">
        <w:rPr>
          <w:i/>
          <w:szCs w:val="24"/>
        </w:rPr>
        <w:t xml:space="preserve"> em risco, ao serem atraídos </w:t>
      </w:r>
      <w:r w:rsidRPr="00175C61">
        <w:rPr>
          <w:i/>
          <w:szCs w:val="24"/>
        </w:rPr>
        <w:lastRenderedPageBreak/>
        <w:t xml:space="preserve">pelo sentimento de euforia reinante. Os bancos tendem a emprestar mais para investimentos </w:t>
      </w:r>
      <w:r w:rsidR="002903D7">
        <w:rPr>
          <w:i/>
          <w:szCs w:val="24"/>
        </w:rPr>
        <w:t>i</w:t>
      </w:r>
      <w:r w:rsidRPr="00175C61">
        <w:rPr>
          <w:i/>
          <w:szCs w:val="24"/>
        </w:rPr>
        <w:t>mobiliários, porque seus resultados aumentaram com e</w:t>
      </w:r>
      <w:r w:rsidR="006228C0" w:rsidRPr="00175C61">
        <w:rPr>
          <w:i/>
          <w:szCs w:val="24"/>
        </w:rPr>
        <w:t>sse procedimento no passado. O r</w:t>
      </w:r>
      <w:r w:rsidRPr="00175C61">
        <w:rPr>
          <w:i/>
          <w:szCs w:val="24"/>
        </w:rPr>
        <w:t xml:space="preserve">isco moral </w:t>
      </w:r>
      <w:r w:rsidR="00BA4D1A" w:rsidRPr="00175C61">
        <w:rPr>
          <w:i/>
          <w:szCs w:val="24"/>
        </w:rPr>
        <w:t xml:space="preserve">é mais uma possibilidade que </w:t>
      </w:r>
      <w:r w:rsidRPr="00175C61">
        <w:rPr>
          <w:i/>
          <w:szCs w:val="24"/>
        </w:rPr>
        <w:t xml:space="preserve">também pode influir no suprimento de capital para o setor imobiliário, exacerbando </w:t>
      </w:r>
      <w:r w:rsidR="00BA4D1A" w:rsidRPr="00175C61">
        <w:rPr>
          <w:i/>
          <w:szCs w:val="24"/>
        </w:rPr>
        <w:t>seu</w:t>
      </w:r>
      <w:r w:rsidRPr="00175C61">
        <w:rPr>
          <w:i/>
          <w:szCs w:val="24"/>
        </w:rPr>
        <w:t>s auges e crises. À medida que os salários e bônus dos gerentes forem baseados nos lucros de curto prazo, sem ajustes para reservas contra cíclicas, os gestores remunerados para estimar essas reservas serão incentivados a redu</w:t>
      </w:r>
      <w:r w:rsidR="009D2654">
        <w:rPr>
          <w:i/>
          <w:szCs w:val="24"/>
        </w:rPr>
        <w:t>zir a importância dessas providê</w:t>
      </w:r>
      <w:r w:rsidRPr="00175C61">
        <w:rPr>
          <w:i/>
          <w:szCs w:val="24"/>
        </w:rPr>
        <w:t xml:space="preserve">ncias. Também </w:t>
      </w:r>
      <w:r w:rsidR="00095EC8" w:rsidRPr="00175C61">
        <w:rPr>
          <w:i/>
          <w:szCs w:val="24"/>
        </w:rPr>
        <w:t xml:space="preserve">devido a </w:t>
      </w:r>
      <w:r w:rsidRPr="00175C61">
        <w:rPr>
          <w:i/>
          <w:szCs w:val="24"/>
        </w:rPr>
        <w:t xml:space="preserve">pressões competitivas do ramo bancário, os diretores e gerentes serão naturalmente pressionados a subestimar o risco dos créditos imobiliários, com o incentivo dos acionistas desses bancos.” </w:t>
      </w:r>
      <w:r w:rsidRPr="00175C61">
        <w:rPr>
          <w:rStyle w:val="Refdenotaderodap"/>
          <w:i/>
          <w:szCs w:val="24"/>
        </w:rPr>
        <w:footnoteReference w:id="5"/>
      </w:r>
    </w:p>
    <w:p w14:paraId="69D9EC30" w14:textId="71C6A197" w:rsidR="003F221D" w:rsidRPr="00175C61" w:rsidRDefault="003F221D" w:rsidP="00CD0FEF">
      <w:pPr>
        <w:autoSpaceDE w:val="0"/>
        <w:autoSpaceDN w:val="0"/>
        <w:adjustRightInd w:val="0"/>
        <w:ind w:firstLine="708"/>
        <w:rPr>
          <w:szCs w:val="24"/>
        </w:rPr>
      </w:pPr>
      <w:r w:rsidRPr="00175C61">
        <w:rPr>
          <w:szCs w:val="24"/>
        </w:rPr>
        <w:t xml:space="preserve">Além de servir de subsídio para o nosso argumento, este trecho parece </w:t>
      </w:r>
      <w:r w:rsidR="00B1503F" w:rsidRPr="00175C61">
        <w:rPr>
          <w:szCs w:val="24"/>
        </w:rPr>
        <w:t>uma minuta de roteiro para a crise de 2008!</w:t>
      </w:r>
    </w:p>
    <w:p w14:paraId="425F3E71" w14:textId="50AA23FA" w:rsidR="00272710" w:rsidRPr="00175C61" w:rsidRDefault="00932659" w:rsidP="00CD0FEF">
      <w:pPr>
        <w:ind w:firstLine="708"/>
        <w:rPr>
          <w:szCs w:val="24"/>
        </w:rPr>
      </w:pPr>
      <w:r w:rsidRPr="00175C61">
        <w:rPr>
          <w:szCs w:val="24"/>
        </w:rPr>
        <w:t>A não coincidência dos ciclo</w:t>
      </w:r>
      <w:r w:rsidR="00272710" w:rsidRPr="00175C61">
        <w:rPr>
          <w:szCs w:val="24"/>
        </w:rPr>
        <w:t xml:space="preserve">s </w:t>
      </w:r>
      <w:r w:rsidR="004736D9">
        <w:rPr>
          <w:szCs w:val="24"/>
        </w:rPr>
        <w:t>d</w:t>
      </w:r>
      <w:r w:rsidR="00272710" w:rsidRPr="00175C61">
        <w:rPr>
          <w:szCs w:val="24"/>
        </w:rPr>
        <w:t>e demanda e oferta de imóveis</w:t>
      </w:r>
      <w:r w:rsidRPr="00175C61">
        <w:rPr>
          <w:szCs w:val="24"/>
        </w:rPr>
        <w:t xml:space="preserve">, </w:t>
      </w:r>
      <w:r w:rsidR="00EF327E" w:rsidRPr="00175C61">
        <w:rPr>
          <w:szCs w:val="24"/>
        </w:rPr>
        <w:t>e as expectativas</w:t>
      </w:r>
      <w:r w:rsidR="006E6154" w:rsidRPr="00175C61">
        <w:rPr>
          <w:szCs w:val="24"/>
        </w:rPr>
        <w:t xml:space="preserve"> de realização das previsões</w:t>
      </w:r>
      <w:r w:rsidR="00EF327E" w:rsidRPr="00175C61">
        <w:rPr>
          <w:szCs w:val="24"/>
        </w:rPr>
        <w:t xml:space="preserve"> sancionadas pelos </w:t>
      </w:r>
      <w:r w:rsidR="004736D9">
        <w:rPr>
          <w:szCs w:val="24"/>
        </w:rPr>
        <w:t xml:space="preserve">investidores </w:t>
      </w:r>
      <w:r w:rsidR="003B3164" w:rsidRPr="00175C61">
        <w:rPr>
          <w:szCs w:val="24"/>
        </w:rPr>
        <w:t>pi</w:t>
      </w:r>
      <w:r w:rsidR="00C76071" w:rsidRPr="00175C61">
        <w:rPr>
          <w:szCs w:val="24"/>
        </w:rPr>
        <w:t>oneiros</w:t>
      </w:r>
      <w:r w:rsidR="004736D9">
        <w:rPr>
          <w:szCs w:val="24"/>
        </w:rPr>
        <w:t>,</w:t>
      </w:r>
      <w:r w:rsidR="007C2A67">
        <w:rPr>
          <w:szCs w:val="24"/>
        </w:rPr>
        <w:t xml:space="preserve"> inclusive </w:t>
      </w:r>
      <w:r w:rsidR="00EF327E" w:rsidRPr="00175C61">
        <w:rPr>
          <w:szCs w:val="24"/>
        </w:rPr>
        <w:t>recorre</w:t>
      </w:r>
      <w:r w:rsidR="007C2A67">
        <w:rPr>
          <w:szCs w:val="24"/>
        </w:rPr>
        <w:t xml:space="preserve">ndo </w:t>
      </w:r>
      <w:r w:rsidR="00EF327E" w:rsidRPr="00175C61">
        <w:rPr>
          <w:szCs w:val="24"/>
        </w:rPr>
        <w:t>ao capital de terceiros</w:t>
      </w:r>
      <w:r w:rsidR="00B70D0A" w:rsidRPr="00175C61">
        <w:rPr>
          <w:szCs w:val="24"/>
        </w:rPr>
        <w:t>, faz com que seja reforçado o</w:t>
      </w:r>
      <w:r w:rsidR="002919C3" w:rsidRPr="00175C61">
        <w:rPr>
          <w:szCs w:val="24"/>
        </w:rPr>
        <w:t xml:space="preserve"> sentimento de segurança na valorização dos imóveis</w:t>
      </w:r>
      <w:r w:rsidR="00B70D0A" w:rsidRPr="00175C61">
        <w:rPr>
          <w:szCs w:val="24"/>
        </w:rPr>
        <w:t>,</w:t>
      </w:r>
      <w:r w:rsidR="00E42E82" w:rsidRPr="00175C61">
        <w:rPr>
          <w:szCs w:val="24"/>
        </w:rPr>
        <w:t xml:space="preserve"> toma</w:t>
      </w:r>
      <w:r w:rsidR="00B70D0A" w:rsidRPr="00175C61">
        <w:rPr>
          <w:szCs w:val="24"/>
        </w:rPr>
        <w:t>ndo</w:t>
      </w:r>
      <w:r w:rsidR="00E42E82" w:rsidRPr="00175C61">
        <w:rPr>
          <w:szCs w:val="24"/>
        </w:rPr>
        <w:t xml:space="preserve"> contornos de euforia, e </w:t>
      </w:r>
      <w:r w:rsidR="002919C3" w:rsidRPr="00175C61">
        <w:rPr>
          <w:szCs w:val="24"/>
        </w:rPr>
        <w:t xml:space="preserve">a partir de um </w:t>
      </w:r>
      <w:r w:rsidR="00B70D0A" w:rsidRPr="00175C61">
        <w:rPr>
          <w:szCs w:val="24"/>
        </w:rPr>
        <w:t xml:space="preserve">dado </w:t>
      </w:r>
      <w:r w:rsidR="002919C3" w:rsidRPr="00175C61">
        <w:rPr>
          <w:szCs w:val="24"/>
        </w:rPr>
        <w:t>momento</w:t>
      </w:r>
      <w:r w:rsidR="00E42E82" w:rsidRPr="00175C61">
        <w:rPr>
          <w:szCs w:val="24"/>
        </w:rPr>
        <w:t xml:space="preserve"> a oferta começa a superar a demanda, com as consequências </w:t>
      </w:r>
      <w:r w:rsidR="006E6154" w:rsidRPr="00175C61">
        <w:rPr>
          <w:szCs w:val="24"/>
        </w:rPr>
        <w:t>já conhecidas</w:t>
      </w:r>
      <w:r w:rsidR="00476B59">
        <w:rPr>
          <w:szCs w:val="24"/>
        </w:rPr>
        <w:t>, e</w:t>
      </w:r>
      <w:r w:rsidR="00631B77">
        <w:rPr>
          <w:szCs w:val="24"/>
        </w:rPr>
        <w:t>m especial</w:t>
      </w:r>
      <w:r w:rsidR="00476B59">
        <w:rPr>
          <w:szCs w:val="24"/>
        </w:rPr>
        <w:t xml:space="preserve"> a inversão do ciclo</w:t>
      </w:r>
      <w:r w:rsidR="006E6154" w:rsidRPr="00175C61">
        <w:rPr>
          <w:szCs w:val="24"/>
        </w:rPr>
        <w:t>.</w:t>
      </w:r>
      <w:r w:rsidR="00F4434F" w:rsidRPr="00175C61">
        <w:rPr>
          <w:szCs w:val="24"/>
        </w:rPr>
        <w:t xml:space="preserve"> </w:t>
      </w:r>
    </w:p>
    <w:p w14:paraId="086AC6A0" w14:textId="5F626186" w:rsidR="00CB0DF0" w:rsidRDefault="0010403A" w:rsidP="00CD0FEF">
      <w:pPr>
        <w:autoSpaceDE w:val="0"/>
        <w:autoSpaceDN w:val="0"/>
        <w:adjustRightInd w:val="0"/>
        <w:ind w:firstLine="708"/>
        <w:rPr>
          <w:szCs w:val="24"/>
        </w:rPr>
      </w:pPr>
      <w:r w:rsidRPr="00BD7597">
        <w:rPr>
          <w:szCs w:val="24"/>
        </w:rPr>
        <w:t>Os</w:t>
      </w:r>
      <w:r w:rsidR="00CB0DF0" w:rsidRPr="00BD7597">
        <w:rPr>
          <w:szCs w:val="24"/>
        </w:rPr>
        <w:t xml:space="preserve"> bancos exercem um papel de exacerbador dos ciclos “naturais” da indústria imobiliária, </w:t>
      </w:r>
      <w:r w:rsidR="00094E3F" w:rsidRPr="00BD7597">
        <w:rPr>
          <w:szCs w:val="24"/>
        </w:rPr>
        <w:t>e tendem</w:t>
      </w:r>
      <w:r w:rsidR="00476B59">
        <w:rPr>
          <w:szCs w:val="24"/>
        </w:rPr>
        <w:t>, na subida do ciclo,</w:t>
      </w:r>
      <w:r w:rsidR="00094E3F" w:rsidRPr="00BD7597">
        <w:rPr>
          <w:szCs w:val="24"/>
        </w:rPr>
        <w:t xml:space="preserve"> </w:t>
      </w:r>
      <w:r w:rsidR="00CB0DF0" w:rsidRPr="00BD7597">
        <w:rPr>
          <w:szCs w:val="24"/>
        </w:rPr>
        <w:t xml:space="preserve">a aumentar sua </w:t>
      </w:r>
      <w:r w:rsidR="00094E3F" w:rsidRPr="00BD7597">
        <w:rPr>
          <w:szCs w:val="24"/>
        </w:rPr>
        <w:t xml:space="preserve">oferta de crédito para o </w:t>
      </w:r>
      <w:r w:rsidR="00CB0DF0" w:rsidRPr="00BD7597">
        <w:rPr>
          <w:szCs w:val="24"/>
        </w:rPr>
        <w:t>financiamento habitacional</w:t>
      </w:r>
      <w:r w:rsidR="00A928F4" w:rsidRPr="00BD7597">
        <w:rPr>
          <w:szCs w:val="24"/>
        </w:rPr>
        <w:t xml:space="preserve">. </w:t>
      </w:r>
      <w:r w:rsidR="00476B59">
        <w:rPr>
          <w:szCs w:val="24"/>
        </w:rPr>
        <w:t xml:space="preserve">Além do puro aumento de oferta de recursos, </w:t>
      </w:r>
      <w:r w:rsidR="0012407A" w:rsidRPr="00BD7597">
        <w:rPr>
          <w:szCs w:val="24"/>
        </w:rPr>
        <w:t xml:space="preserve">isso </w:t>
      </w:r>
      <w:r w:rsidR="00476B59">
        <w:rPr>
          <w:szCs w:val="24"/>
        </w:rPr>
        <w:t xml:space="preserve">também </w:t>
      </w:r>
      <w:r w:rsidR="0012407A" w:rsidRPr="00BD7597">
        <w:rPr>
          <w:szCs w:val="24"/>
        </w:rPr>
        <w:t>pode se dar permitindo um aumento do LTV (</w:t>
      </w:r>
      <w:proofErr w:type="spellStart"/>
      <w:r w:rsidR="0012407A" w:rsidRPr="00BD7597">
        <w:rPr>
          <w:i/>
          <w:szCs w:val="24"/>
        </w:rPr>
        <w:t>loan</w:t>
      </w:r>
      <w:proofErr w:type="spellEnd"/>
      <w:r w:rsidR="0012407A" w:rsidRPr="00BD7597">
        <w:rPr>
          <w:i/>
          <w:szCs w:val="24"/>
        </w:rPr>
        <w:t xml:space="preserve"> </w:t>
      </w:r>
      <w:proofErr w:type="spellStart"/>
      <w:r w:rsidR="0012407A" w:rsidRPr="00BD7597">
        <w:rPr>
          <w:i/>
          <w:szCs w:val="24"/>
        </w:rPr>
        <w:t>to</w:t>
      </w:r>
      <w:proofErr w:type="spellEnd"/>
      <w:r w:rsidR="0012407A" w:rsidRPr="00BD7597">
        <w:rPr>
          <w:i/>
          <w:szCs w:val="24"/>
        </w:rPr>
        <w:t xml:space="preserve"> </w:t>
      </w:r>
      <w:proofErr w:type="spellStart"/>
      <w:r w:rsidR="0012407A" w:rsidRPr="00BD7597">
        <w:rPr>
          <w:i/>
          <w:szCs w:val="24"/>
        </w:rPr>
        <w:t>value</w:t>
      </w:r>
      <w:proofErr w:type="spellEnd"/>
      <w:r w:rsidR="0012407A">
        <w:rPr>
          <w:i/>
          <w:szCs w:val="24"/>
        </w:rPr>
        <w:t>)</w:t>
      </w:r>
      <w:r w:rsidR="0012407A" w:rsidRPr="00BD7597">
        <w:rPr>
          <w:szCs w:val="24"/>
        </w:rPr>
        <w:t>, proporção do empréstimo em relaçã</w:t>
      </w:r>
      <w:r w:rsidR="0012407A">
        <w:rPr>
          <w:szCs w:val="24"/>
        </w:rPr>
        <w:t>o ao valor do imóvel financiado</w:t>
      </w:r>
      <w:r w:rsidR="0012407A" w:rsidRPr="00BD7597">
        <w:rPr>
          <w:szCs w:val="24"/>
        </w:rPr>
        <w:t>.</w:t>
      </w:r>
      <w:r w:rsidR="00CB0DF0" w:rsidRPr="00BD7597">
        <w:rPr>
          <w:szCs w:val="24"/>
        </w:rPr>
        <w:t xml:space="preserve"> Outra forma, recentemente utilizada por alguns bancos brasileiros foi a utilização da</w:t>
      </w:r>
      <w:r w:rsidR="00CB0DF0" w:rsidRPr="00A06F72">
        <w:rPr>
          <w:szCs w:val="24"/>
        </w:rPr>
        <w:t xml:space="preserve"> tabela </w:t>
      </w:r>
      <w:proofErr w:type="spellStart"/>
      <w:r w:rsidR="00CB0DF0" w:rsidRPr="00A06F72">
        <w:rPr>
          <w:szCs w:val="24"/>
        </w:rPr>
        <w:t>Price</w:t>
      </w:r>
      <w:proofErr w:type="spellEnd"/>
      <w:r w:rsidR="00CB0DF0" w:rsidRPr="00A06F72">
        <w:rPr>
          <w:szCs w:val="24"/>
        </w:rPr>
        <w:t xml:space="preserve"> ao invés de do sistem</w:t>
      </w:r>
      <w:r w:rsidR="002903D7">
        <w:rPr>
          <w:szCs w:val="24"/>
        </w:rPr>
        <w:t>a SAC – Sistema de Amortização C</w:t>
      </w:r>
      <w:r w:rsidR="00CB0DF0" w:rsidRPr="00A06F72">
        <w:rPr>
          <w:szCs w:val="24"/>
        </w:rPr>
        <w:t>ontinua. Neste caso</w:t>
      </w:r>
      <w:r w:rsidR="009608F9">
        <w:rPr>
          <w:szCs w:val="24"/>
        </w:rPr>
        <w:t>,</w:t>
      </w:r>
      <w:r w:rsidR="00CB0DF0" w:rsidRPr="00A06F72">
        <w:rPr>
          <w:szCs w:val="24"/>
        </w:rPr>
        <w:t xml:space="preserve"> as prestações começam mais altas, e se reduzem gradativamente à medida que o financiamento vai sendo amortizado</w:t>
      </w:r>
      <w:r w:rsidR="00CB0DF0">
        <w:rPr>
          <w:szCs w:val="24"/>
        </w:rPr>
        <w:t>, e</w:t>
      </w:r>
      <w:r w:rsidR="00CB0DF0" w:rsidRPr="00A06F72">
        <w:rPr>
          <w:szCs w:val="24"/>
        </w:rPr>
        <w:t xml:space="preserve"> exigindo uma renda maior do mutuário</w:t>
      </w:r>
      <w:r w:rsidR="00CB0DF0">
        <w:rPr>
          <w:szCs w:val="24"/>
        </w:rPr>
        <w:t xml:space="preserve"> no início</w:t>
      </w:r>
      <w:r w:rsidR="00CB0DF0" w:rsidRPr="00A06F72">
        <w:rPr>
          <w:szCs w:val="24"/>
        </w:rPr>
        <w:t xml:space="preserve">. No caso do uso da tabela </w:t>
      </w:r>
      <w:proofErr w:type="spellStart"/>
      <w:r w:rsidR="00CB0DF0">
        <w:rPr>
          <w:szCs w:val="24"/>
        </w:rPr>
        <w:t>P</w:t>
      </w:r>
      <w:r w:rsidR="00CB0DF0" w:rsidRPr="00A06F72">
        <w:rPr>
          <w:szCs w:val="24"/>
        </w:rPr>
        <w:t>rice</w:t>
      </w:r>
      <w:proofErr w:type="spellEnd"/>
      <w:r w:rsidR="00CB0DF0" w:rsidRPr="00A06F72">
        <w:rPr>
          <w:szCs w:val="24"/>
        </w:rPr>
        <w:t xml:space="preserve">, </w:t>
      </w:r>
      <w:r w:rsidR="00CB0DF0">
        <w:rPr>
          <w:szCs w:val="24"/>
        </w:rPr>
        <w:t xml:space="preserve">dado que </w:t>
      </w:r>
      <w:r w:rsidR="00CB0DF0" w:rsidRPr="00A06F72">
        <w:rPr>
          <w:szCs w:val="24"/>
        </w:rPr>
        <w:t xml:space="preserve">as prestações ficam iguais ao longo do tempo, </w:t>
      </w:r>
      <w:r w:rsidR="00CB0DF0">
        <w:rPr>
          <w:szCs w:val="24"/>
        </w:rPr>
        <w:t xml:space="preserve">e </w:t>
      </w:r>
      <w:r w:rsidR="00CB0DF0" w:rsidRPr="00A06F72">
        <w:rPr>
          <w:szCs w:val="24"/>
        </w:rPr>
        <w:t xml:space="preserve">iniciando com uma parcela de valor menor do que o sistema SAC, </w:t>
      </w:r>
      <w:r w:rsidR="00CB0DF0">
        <w:rPr>
          <w:szCs w:val="24"/>
        </w:rPr>
        <w:t xml:space="preserve">exige-se </w:t>
      </w:r>
      <w:r w:rsidR="00CB0DF0" w:rsidRPr="00A06F72">
        <w:rPr>
          <w:szCs w:val="24"/>
        </w:rPr>
        <w:t xml:space="preserve">uma renda inicial menor do mutuário. Em tese estamos falando de um mesmo LTV, mas ao exigir uma renda menor, a </w:t>
      </w:r>
      <w:r w:rsidR="00CB0DF0">
        <w:rPr>
          <w:szCs w:val="24"/>
        </w:rPr>
        <w:t xml:space="preserve">regra da </w:t>
      </w:r>
      <w:r w:rsidR="00CB0DF0" w:rsidRPr="00A06F72">
        <w:rPr>
          <w:szCs w:val="24"/>
        </w:rPr>
        <w:t xml:space="preserve">relação renda/prestação </w:t>
      </w:r>
      <w:r w:rsidR="00642A99">
        <w:rPr>
          <w:szCs w:val="24"/>
        </w:rPr>
        <w:t>é</w:t>
      </w:r>
      <w:r w:rsidR="00CB0DF0">
        <w:rPr>
          <w:szCs w:val="24"/>
        </w:rPr>
        <w:t xml:space="preserve"> relaxada, e o banco pode financiar um valor maior.</w:t>
      </w:r>
      <w:r w:rsidR="00CB0DF0" w:rsidRPr="00A06F72">
        <w:rPr>
          <w:szCs w:val="24"/>
        </w:rPr>
        <w:t xml:space="preserve"> No caso dos financiamentos para clientes </w:t>
      </w:r>
      <w:r w:rsidR="00CB0DF0" w:rsidRPr="00586C2B">
        <w:rPr>
          <w:i/>
          <w:szCs w:val="24"/>
        </w:rPr>
        <w:t>sub-prime</w:t>
      </w:r>
      <w:r w:rsidR="00CB0DF0" w:rsidRPr="00A06F72">
        <w:rPr>
          <w:szCs w:val="24"/>
        </w:rPr>
        <w:t xml:space="preserve"> nos EUA, uma das formas de </w:t>
      </w:r>
      <w:r w:rsidR="00586C2B">
        <w:rPr>
          <w:szCs w:val="24"/>
        </w:rPr>
        <w:t xml:space="preserve">aumentar a oferta de recursos era por meio de uma </w:t>
      </w:r>
      <w:r w:rsidR="00CB0DF0" w:rsidRPr="00A06F72">
        <w:rPr>
          <w:szCs w:val="24"/>
        </w:rPr>
        <w:t>carência para os juros</w:t>
      </w:r>
      <w:r w:rsidR="00CB0DF0">
        <w:rPr>
          <w:szCs w:val="24"/>
        </w:rPr>
        <w:t xml:space="preserve">, </w:t>
      </w:r>
      <w:r w:rsidR="00642EFF">
        <w:rPr>
          <w:szCs w:val="24"/>
        </w:rPr>
        <w:t>associado ou não à</w:t>
      </w:r>
      <w:r w:rsidR="00642EFD">
        <w:rPr>
          <w:szCs w:val="24"/>
        </w:rPr>
        <w:t xml:space="preserve"> incidência de </w:t>
      </w:r>
      <w:r w:rsidR="00CB0DF0">
        <w:rPr>
          <w:szCs w:val="24"/>
        </w:rPr>
        <w:t>juros menores</w:t>
      </w:r>
      <w:r w:rsidR="00642EFD">
        <w:rPr>
          <w:szCs w:val="24"/>
        </w:rPr>
        <w:t xml:space="preserve"> durante a carência</w:t>
      </w:r>
      <w:r w:rsidR="00CB0DF0" w:rsidRPr="00A06F72">
        <w:rPr>
          <w:szCs w:val="24"/>
        </w:rPr>
        <w:t>, de forma a encaixar o financiamento numa renda menor, para</w:t>
      </w:r>
      <w:r w:rsidR="00642EFD">
        <w:rPr>
          <w:szCs w:val="24"/>
        </w:rPr>
        <w:t>,</w:t>
      </w:r>
      <w:r w:rsidR="00CB0DF0" w:rsidRPr="00A06F72">
        <w:rPr>
          <w:szCs w:val="24"/>
        </w:rPr>
        <w:t xml:space="preserve"> após </w:t>
      </w:r>
      <w:r w:rsidR="00CB0DF0">
        <w:rPr>
          <w:szCs w:val="24"/>
        </w:rPr>
        <w:t xml:space="preserve">o período de </w:t>
      </w:r>
      <w:r w:rsidR="00CB0DF0" w:rsidRPr="00A06F72">
        <w:rPr>
          <w:szCs w:val="24"/>
        </w:rPr>
        <w:t>carência, passar a cobrá-los</w:t>
      </w:r>
      <w:r w:rsidR="00535C01">
        <w:rPr>
          <w:szCs w:val="24"/>
        </w:rPr>
        <w:t xml:space="preserve"> em patamar mais alto</w:t>
      </w:r>
      <w:r w:rsidR="00CB0DF0" w:rsidRPr="00A06F72">
        <w:rPr>
          <w:szCs w:val="24"/>
        </w:rPr>
        <w:t xml:space="preserve">. </w:t>
      </w:r>
      <w:r w:rsidR="00642EFD">
        <w:rPr>
          <w:szCs w:val="24"/>
        </w:rPr>
        <w:t>Ness</w:t>
      </w:r>
      <w:r w:rsidR="00FC6984">
        <w:rPr>
          <w:szCs w:val="24"/>
        </w:rPr>
        <w:t>e</w:t>
      </w:r>
      <w:r w:rsidR="00642EFD">
        <w:rPr>
          <w:szCs w:val="24"/>
        </w:rPr>
        <w:t xml:space="preserve"> final de carência </w:t>
      </w:r>
      <w:r w:rsidR="00FC6984">
        <w:rPr>
          <w:szCs w:val="24"/>
        </w:rPr>
        <w:t xml:space="preserve">a incapacidade do comprador pagar </w:t>
      </w:r>
      <w:r w:rsidR="00535C01">
        <w:rPr>
          <w:szCs w:val="24"/>
        </w:rPr>
        <w:t>o</w:t>
      </w:r>
      <w:r w:rsidR="00FC6984">
        <w:rPr>
          <w:szCs w:val="24"/>
        </w:rPr>
        <w:t xml:space="preserve"> aumento de prestação</w:t>
      </w:r>
      <w:r w:rsidR="00642EFD">
        <w:rPr>
          <w:szCs w:val="24"/>
        </w:rPr>
        <w:t xml:space="preserve"> </w:t>
      </w:r>
      <w:r w:rsidR="00CB0DF0" w:rsidRPr="00A06F72">
        <w:rPr>
          <w:szCs w:val="24"/>
        </w:rPr>
        <w:t xml:space="preserve">foi um dos gatilhos para o início das inadimplências em grande escala </w:t>
      </w:r>
      <w:r w:rsidR="00830ECE">
        <w:rPr>
          <w:szCs w:val="24"/>
        </w:rPr>
        <w:t xml:space="preserve">no mercado dos EUA </w:t>
      </w:r>
      <w:r w:rsidR="00CB0DF0" w:rsidRPr="00A06F72">
        <w:rPr>
          <w:szCs w:val="24"/>
        </w:rPr>
        <w:t>em 2008.</w:t>
      </w:r>
    </w:p>
    <w:p w14:paraId="70C011E3" w14:textId="77777777" w:rsidR="00137B5D" w:rsidRDefault="00137B5D" w:rsidP="00CD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614B4D1C" w14:textId="720FC6FF" w:rsidR="00185716" w:rsidRPr="00436027" w:rsidRDefault="00537A8E" w:rsidP="00537A8E">
      <w:pPr>
        <w:pStyle w:val="Ttulo2"/>
        <w:rPr>
          <w:rFonts w:ascii="Times New Roman" w:hAnsi="Times New Roman" w:cs="Times New Roman"/>
          <w:color w:val="auto"/>
          <w:sz w:val="24"/>
          <w:szCs w:val="24"/>
        </w:rPr>
      </w:pPr>
      <w:bookmarkStart w:id="7" w:name="_Toc424741952"/>
      <w:r w:rsidRPr="00436027">
        <w:rPr>
          <w:rFonts w:ascii="Times New Roman" w:hAnsi="Times New Roman" w:cs="Times New Roman"/>
          <w:color w:val="auto"/>
          <w:sz w:val="24"/>
          <w:szCs w:val="24"/>
        </w:rPr>
        <w:t xml:space="preserve">3.3 </w:t>
      </w:r>
      <w:r w:rsidR="00437413" w:rsidRPr="00436027">
        <w:rPr>
          <w:rFonts w:ascii="Times New Roman" w:hAnsi="Times New Roman" w:cs="Times New Roman"/>
          <w:color w:val="auto"/>
          <w:sz w:val="24"/>
          <w:szCs w:val="24"/>
        </w:rPr>
        <w:t>Desafios para as autoridades monetárias</w:t>
      </w:r>
      <w:bookmarkEnd w:id="7"/>
      <w:r w:rsidR="00185716" w:rsidRPr="00436027">
        <w:rPr>
          <w:rFonts w:ascii="Times New Roman" w:hAnsi="Times New Roman" w:cs="Times New Roman"/>
          <w:color w:val="auto"/>
          <w:sz w:val="24"/>
          <w:szCs w:val="24"/>
        </w:rPr>
        <w:t xml:space="preserve"> </w:t>
      </w:r>
    </w:p>
    <w:p w14:paraId="1E942122" w14:textId="7926FE66" w:rsidR="00185716" w:rsidRPr="00BA7ADB" w:rsidRDefault="00185716" w:rsidP="00CD0FEF">
      <w:pPr>
        <w:autoSpaceDE w:val="0"/>
        <w:autoSpaceDN w:val="0"/>
        <w:adjustRightInd w:val="0"/>
        <w:ind w:firstLine="708"/>
        <w:rPr>
          <w:rFonts w:ascii="Arial" w:hAnsi="Arial" w:cs="Arial"/>
          <w:sz w:val="20"/>
          <w:szCs w:val="20"/>
        </w:rPr>
      </w:pPr>
      <w:r>
        <w:rPr>
          <w:szCs w:val="24"/>
        </w:rPr>
        <w:t xml:space="preserve">Esses mesmos autores propõem que uma forma de evitar as bolhas, é por meio da criação de um índice de preços de imóveis de longo prazo, para que haja uma contraposição deste com os índices de preços de curto prazo. </w:t>
      </w:r>
      <w:r w:rsidRPr="007B2B5D">
        <w:rPr>
          <w:szCs w:val="24"/>
        </w:rPr>
        <w:t xml:space="preserve">Esse índice de longo prazo pode ser pensado como </w:t>
      </w:r>
      <w:r w:rsidRPr="008860BF">
        <w:rPr>
          <w:i/>
          <w:szCs w:val="24"/>
        </w:rPr>
        <w:t>“o valor (relativamente estável) dos serviços habitacionais (propicia</w:t>
      </w:r>
      <w:r>
        <w:rPr>
          <w:i/>
          <w:szCs w:val="24"/>
        </w:rPr>
        <w:t>do pela moradia) mais uma mé</w:t>
      </w:r>
      <w:r w:rsidRPr="008860BF">
        <w:rPr>
          <w:i/>
          <w:szCs w:val="24"/>
        </w:rPr>
        <w:t>dia</w:t>
      </w:r>
      <w:r>
        <w:rPr>
          <w:i/>
          <w:szCs w:val="24"/>
        </w:rPr>
        <w:t xml:space="preserve"> </w:t>
      </w:r>
      <w:r w:rsidRPr="008860BF">
        <w:rPr>
          <w:i/>
          <w:szCs w:val="24"/>
        </w:rPr>
        <w:t>sobre a série dos valores de</w:t>
      </w:r>
      <w:r>
        <w:rPr>
          <w:i/>
          <w:szCs w:val="24"/>
        </w:rPr>
        <w:t xml:space="preserve"> </w:t>
      </w:r>
      <w:r w:rsidRPr="008860BF">
        <w:rPr>
          <w:i/>
          <w:szCs w:val="24"/>
        </w:rPr>
        <w:t>mercado sem a “bolha” (todos eles trazidos a valor presente).</w:t>
      </w:r>
      <w:r w:rsidRPr="00F20A7B">
        <w:rPr>
          <w:i/>
          <w:szCs w:val="24"/>
        </w:rPr>
        <w:t xml:space="preserve"> </w:t>
      </w:r>
      <w:r w:rsidRPr="00F20A7B">
        <w:rPr>
          <w:szCs w:val="24"/>
        </w:rPr>
        <w:t xml:space="preserve">Os autores não são mais explícitos do que isso, </w:t>
      </w:r>
      <w:r>
        <w:rPr>
          <w:szCs w:val="24"/>
        </w:rPr>
        <w:t>mas insistem que  “</w:t>
      </w:r>
      <w:r w:rsidRPr="00F20A7B">
        <w:rPr>
          <w:szCs w:val="24"/>
        </w:rPr>
        <w:t xml:space="preserve"> </w:t>
      </w:r>
      <w:r w:rsidRPr="00F20A7B">
        <w:rPr>
          <w:i/>
          <w:szCs w:val="24"/>
        </w:rPr>
        <w:t xml:space="preserve">...De qualquer forma, é possível frear a tendência dos bancos em aumentar sua exposição aos financiamentos imobiliários, </w:t>
      </w:r>
      <w:r>
        <w:rPr>
          <w:i/>
          <w:szCs w:val="24"/>
        </w:rPr>
        <w:t xml:space="preserve">quando relaxam as regras de </w:t>
      </w:r>
      <w:r w:rsidRPr="00F20A7B">
        <w:rPr>
          <w:i/>
          <w:szCs w:val="24"/>
        </w:rPr>
        <w:t xml:space="preserve"> LTV.”</w:t>
      </w:r>
    </w:p>
    <w:p w14:paraId="15AC1972" w14:textId="2C60F5B0" w:rsidR="00185716" w:rsidRPr="005D39E0" w:rsidRDefault="00185716" w:rsidP="00CD0FEF">
      <w:pPr>
        <w:autoSpaceDE w:val="0"/>
        <w:autoSpaceDN w:val="0"/>
        <w:adjustRightInd w:val="0"/>
        <w:ind w:firstLine="708"/>
        <w:rPr>
          <w:szCs w:val="24"/>
        </w:rPr>
      </w:pPr>
      <w:r>
        <w:rPr>
          <w:szCs w:val="24"/>
        </w:rPr>
        <w:t>Quanto ao índice de valor de longo prazo dos imóveis residenciais, apesar da falta de detalhamento de como esse índice seria construído</w:t>
      </w:r>
      <w:r w:rsidR="00B11C97">
        <w:rPr>
          <w:szCs w:val="24"/>
        </w:rPr>
        <w:t>,</w:t>
      </w:r>
      <w:r>
        <w:rPr>
          <w:szCs w:val="24"/>
        </w:rPr>
        <w:t xml:space="preserve"> para se </w:t>
      </w:r>
      <w:proofErr w:type="gramStart"/>
      <w:r>
        <w:rPr>
          <w:szCs w:val="24"/>
        </w:rPr>
        <w:t>contrapor</w:t>
      </w:r>
      <w:proofErr w:type="gramEnd"/>
      <w:r>
        <w:rPr>
          <w:szCs w:val="24"/>
        </w:rPr>
        <w:t xml:space="preserve"> ao índice de preços de </w:t>
      </w:r>
      <w:r>
        <w:rPr>
          <w:szCs w:val="24"/>
        </w:rPr>
        <w:lastRenderedPageBreak/>
        <w:t>mercado, os autores d</w:t>
      </w:r>
      <w:r w:rsidR="00B11C97">
        <w:rPr>
          <w:szCs w:val="24"/>
        </w:rPr>
        <w:t xml:space="preserve">a </w:t>
      </w:r>
      <w:proofErr w:type="spellStart"/>
      <w:r w:rsidR="00B11C97">
        <w:rPr>
          <w:szCs w:val="24"/>
        </w:rPr>
        <w:t>idé</w:t>
      </w:r>
      <w:r>
        <w:rPr>
          <w:szCs w:val="24"/>
        </w:rPr>
        <w:t>ia</w:t>
      </w:r>
      <w:proofErr w:type="spellEnd"/>
      <w:r>
        <w:rPr>
          <w:szCs w:val="24"/>
        </w:rPr>
        <w:t xml:space="preserve"> parecem ter em mente algum tipo de limitador para os financiamentos imobiliários. Ao </w:t>
      </w:r>
      <w:r w:rsidR="00C649CF">
        <w:rPr>
          <w:szCs w:val="24"/>
        </w:rPr>
        <w:t>imaginar s</w:t>
      </w:r>
      <w:r w:rsidR="007B265E">
        <w:rPr>
          <w:szCs w:val="24"/>
        </w:rPr>
        <w:t xml:space="preserve">obre a maneira que </w:t>
      </w:r>
      <w:r>
        <w:rPr>
          <w:szCs w:val="24"/>
        </w:rPr>
        <w:t xml:space="preserve">uma curva de preços de longo prazo poderia prevalecer sobre uma curva de preços de curto prazo, </w:t>
      </w:r>
      <w:r w:rsidR="007B265E">
        <w:rPr>
          <w:szCs w:val="24"/>
        </w:rPr>
        <w:t>a partir de</w:t>
      </w:r>
      <w:r w:rsidR="00B53503">
        <w:rPr>
          <w:szCs w:val="24"/>
        </w:rPr>
        <w:t>ssa curva</w:t>
      </w:r>
      <w:r w:rsidR="007B265E">
        <w:rPr>
          <w:szCs w:val="24"/>
        </w:rPr>
        <w:t xml:space="preserve"> </w:t>
      </w:r>
      <w:r w:rsidR="00830ECE">
        <w:rPr>
          <w:szCs w:val="24"/>
        </w:rPr>
        <w:t xml:space="preserve">possivelmente </w:t>
      </w:r>
      <w:r>
        <w:rPr>
          <w:szCs w:val="24"/>
        </w:rPr>
        <w:t>seria construída, por exemplo, uma tabela de preços que corresponderia à curva de longo prazo, acima da qual, para os preços dos imóveis que ultrapassassem determinados preços durante certo período de tempo, seriam impostas restrições para financiamento dos imóveis</w:t>
      </w:r>
      <w:r w:rsidR="00444327">
        <w:rPr>
          <w:szCs w:val="24"/>
        </w:rPr>
        <w:t xml:space="preserve">: um </w:t>
      </w:r>
      <w:r>
        <w:rPr>
          <w:szCs w:val="24"/>
        </w:rPr>
        <w:t xml:space="preserve">LTV menor, ou financiamento de percentuais decrescentes, </w:t>
      </w:r>
      <w:r w:rsidR="00B53503">
        <w:rPr>
          <w:szCs w:val="24"/>
        </w:rPr>
        <w:t xml:space="preserve">ou </w:t>
      </w:r>
      <w:r>
        <w:rPr>
          <w:szCs w:val="24"/>
        </w:rPr>
        <w:t xml:space="preserve">prazos menores de </w:t>
      </w:r>
      <w:r w:rsidR="00B53503">
        <w:rPr>
          <w:szCs w:val="24"/>
        </w:rPr>
        <w:t xml:space="preserve">financiamento </w:t>
      </w:r>
      <w:r>
        <w:rPr>
          <w:szCs w:val="24"/>
        </w:rPr>
        <w:t>encarece</w:t>
      </w:r>
      <w:r w:rsidR="00444327">
        <w:rPr>
          <w:szCs w:val="24"/>
        </w:rPr>
        <w:t>ndo</w:t>
      </w:r>
      <w:r>
        <w:rPr>
          <w:szCs w:val="24"/>
        </w:rPr>
        <w:t xml:space="preserve"> a prestação, </w:t>
      </w:r>
      <w:r w:rsidR="00444327">
        <w:rPr>
          <w:szCs w:val="24"/>
        </w:rPr>
        <w:t xml:space="preserve">tudo isso </w:t>
      </w:r>
      <w:r>
        <w:rPr>
          <w:szCs w:val="24"/>
        </w:rPr>
        <w:t>destinado a restringir o afluxo de recursos. Não há formatos propostos</w:t>
      </w:r>
      <w:r w:rsidR="002E47B7">
        <w:rPr>
          <w:szCs w:val="24"/>
        </w:rPr>
        <w:t xml:space="preserve">, fica apenas </w:t>
      </w:r>
      <w:r>
        <w:rPr>
          <w:szCs w:val="24"/>
        </w:rPr>
        <w:t xml:space="preserve">uma insinuação disso. </w:t>
      </w:r>
      <w:r w:rsidR="002E47B7">
        <w:rPr>
          <w:szCs w:val="24"/>
        </w:rPr>
        <w:t xml:space="preserve">A construção desse índice </w:t>
      </w:r>
      <w:r w:rsidRPr="005D39E0">
        <w:rPr>
          <w:szCs w:val="24"/>
        </w:rPr>
        <w:t xml:space="preserve">não é </w:t>
      </w:r>
      <w:r w:rsidR="002E47B7">
        <w:rPr>
          <w:szCs w:val="24"/>
        </w:rPr>
        <w:t>tarefa</w:t>
      </w:r>
      <w:r w:rsidRPr="005D39E0">
        <w:rPr>
          <w:szCs w:val="24"/>
        </w:rPr>
        <w:t xml:space="preserve"> fácil, </w:t>
      </w:r>
      <w:r>
        <w:rPr>
          <w:szCs w:val="24"/>
        </w:rPr>
        <w:t>tanto é que os autores afirmam</w:t>
      </w:r>
      <w:r w:rsidRPr="005D39E0">
        <w:rPr>
          <w:szCs w:val="24"/>
        </w:rPr>
        <w:t xml:space="preserve">: </w:t>
      </w:r>
      <w:r>
        <w:rPr>
          <w:szCs w:val="24"/>
        </w:rPr>
        <w:t>“</w:t>
      </w:r>
      <w:r w:rsidRPr="00A616BC">
        <w:rPr>
          <w:i/>
          <w:szCs w:val="24"/>
        </w:rPr>
        <w:t xml:space="preserve">Uma preocupação maior, contudo, é que é muito mais difícil construir índices de valor de longo prazo do que índices de </w:t>
      </w:r>
      <w:r w:rsidR="002E47B7">
        <w:rPr>
          <w:i/>
          <w:szCs w:val="24"/>
        </w:rPr>
        <w:t xml:space="preserve">preços </w:t>
      </w:r>
      <w:r w:rsidRPr="00A616BC">
        <w:rPr>
          <w:i/>
          <w:szCs w:val="24"/>
        </w:rPr>
        <w:t>de mercado.</w:t>
      </w:r>
      <w:r>
        <w:rPr>
          <w:szCs w:val="24"/>
        </w:rPr>
        <w:t>”</w:t>
      </w:r>
      <w:r w:rsidRPr="005D39E0">
        <w:rPr>
          <w:szCs w:val="24"/>
        </w:rPr>
        <w:t xml:space="preserve"> </w:t>
      </w:r>
    </w:p>
    <w:p w14:paraId="03711154" w14:textId="506C74A9" w:rsidR="00947BED" w:rsidRDefault="00947BED" w:rsidP="00CD0FEF">
      <w:pPr>
        <w:pStyle w:val="Pr-formataoHTML"/>
        <w:spacing w:line="0" w:lineRule="atLeast"/>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ab/>
      </w:r>
      <w:r w:rsidR="004A5BDC" w:rsidRPr="00163397">
        <w:rPr>
          <w:rFonts w:ascii="Times New Roman" w:eastAsiaTheme="minorHAnsi" w:hAnsi="Times New Roman" w:cstheme="minorBidi"/>
          <w:sz w:val="24"/>
          <w:szCs w:val="24"/>
          <w:lang w:eastAsia="en-US"/>
        </w:rPr>
        <w:t xml:space="preserve">Transparece ao longo dos textos desses </w:t>
      </w:r>
      <w:r w:rsidR="00842D24">
        <w:rPr>
          <w:rFonts w:ascii="Times New Roman" w:eastAsiaTheme="minorHAnsi" w:hAnsi="Times New Roman" w:cstheme="minorBidi"/>
          <w:sz w:val="24"/>
          <w:szCs w:val="24"/>
          <w:lang w:eastAsia="en-US"/>
        </w:rPr>
        <w:t>WP</w:t>
      </w:r>
      <w:r w:rsidR="004A5BDC" w:rsidRPr="00163397">
        <w:rPr>
          <w:rFonts w:ascii="Times New Roman" w:eastAsiaTheme="minorHAnsi" w:hAnsi="Times New Roman" w:cstheme="minorBidi"/>
          <w:sz w:val="24"/>
          <w:szCs w:val="24"/>
          <w:lang w:eastAsia="en-US"/>
        </w:rPr>
        <w:t xml:space="preserve"> certa perplexidade relacionada à dificuldade de se perceber </w:t>
      </w:r>
      <w:r w:rsidR="004A5BDC" w:rsidRPr="00A275A7">
        <w:rPr>
          <w:rFonts w:ascii="Times New Roman" w:eastAsiaTheme="minorHAnsi" w:hAnsi="Times New Roman" w:cstheme="minorBidi"/>
          <w:sz w:val="24"/>
          <w:szCs w:val="24"/>
          <w:u w:val="single"/>
          <w:lang w:eastAsia="en-US"/>
        </w:rPr>
        <w:t>quando</w:t>
      </w:r>
      <w:r w:rsidR="004A5BDC" w:rsidRPr="00163397">
        <w:rPr>
          <w:rFonts w:ascii="Times New Roman" w:eastAsiaTheme="minorHAnsi" w:hAnsi="Times New Roman" w:cstheme="minorBidi"/>
          <w:sz w:val="24"/>
          <w:szCs w:val="24"/>
          <w:lang w:eastAsia="en-US"/>
        </w:rPr>
        <w:t xml:space="preserve"> existe excesso de investimentos, ou um processo de elevação </w:t>
      </w:r>
      <w:r w:rsidR="00D56521">
        <w:rPr>
          <w:rFonts w:ascii="Times New Roman" w:eastAsiaTheme="minorHAnsi" w:hAnsi="Times New Roman" w:cstheme="minorBidi"/>
          <w:sz w:val="24"/>
          <w:szCs w:val="24"/>
          <w:lang w:eastAsia="en-US"/>
        </w:rPr>
        <w:t>excessiva</w:t>
      </w:r>
      <w:r w:rsidR="00D56521" w:rsidRPr="00163397">
        <w:rPr>
          <w:rFonts w:ascii="Times New Roman" w:eastAsiaTheme="minorHAnsi" w:hAnsi="Times New Roman" w:cstheme="minorBidi"/>
          <w:sz w:val="24"/>
          <w:szCs w:val="24"/>
          <w:lang w:eastAsia="en-US"/>
        </w:rPr>
        <w:t xml:space="preserve"> </w:t>
      </w:r>
      <w:r w:rsidR="004A5BDC" w:rsidRPr="00163397">
        <w:rPr>
          <w:rFonts w:ascii="Times New Roman" w:eastAsiaTheme="minorHAnsi" w:hAnsi="Times New Roman" w:cstheme="minorBidi"/>
          <w:sz w:val="24"/>
          <w:szCs w:val="24"/>
          <w:lang w:eastAsia="en-US"/>
        </w:rPr>
        <w:t>de preços, e daí decorre a incapacidade de perceber o grau de intoxicação de otimismo de todos, produtores, financiadores, e policy makers sobre um iminente deslocamento da curva de preços, e a in</w:t>
      </w:r>
      <w:r w:rsidR="00B278D0">
        <w:rPr>
          <w:rFonts w:ascii="Times New Roman" w:eastAsiaTheme="minorHAnsi" w:hAnsi="Times New Roman" w:cstheme="minorBidi"/>
          <w:sz w:val="24"/>
          <w:szCs w:val="24"/>
          <w:lang w:eastAsia="en-US"/>
        </w:rPr>
        <w:t xml:space="preserve">adequação dos </w:t>
      </w:r>
      <w:r w:rsidR="004A5BDC" w:rsidRPr="00163397">
        <w:rPr>
          <w:rFonts w:ascii="Times New Roman" w:eastAsiaTheme="minorHAnsi" w:hAnsi="Times New Roman" w:cstheme="minorBidi"/>
          <w:sz w:val="24"/>
          <w:szCs w:val="24"/>
          <w:lang w:eastAsia="en-US"/>
        </w:rPr>
        <w:t>instrumentos</w:t>
      </w:r>
      <w:r w:rsidR="00B278D0">
        <w:rPr>
          <w:rFonts w:ascii="Times New Roman" w:eastAsiaTheme="minorHAnsi" w:hAnsi="Times New Roman" w:cstheme="minorBidi"/>
          <w:sz w:val="24"/>
          <w:szCs w:val="24"/>
          <w:lang w:eastAsia="en-US"/>
        </w:rPr>
        <w:t xml:space="preserve"> existentes </w:t>
      </w:r>
      <w:r w:rsidR="004A5BDC" w:rsidRPr="00163397">
        <w:rPr>
          <w:rFonts w:ascii="Times New Roman" w:eastAsiaTheme="minorHAnsi" w:hAnsi="Times New Roman" w:cstheme="minorBidi"/>
          <w:sz w:val="24"/>
          <w:szCs w:val="24"/>
          <w:lang w:eastAsia="en-US"/>
        </w:rPr>
        <w:t xml:space="preserve">para lidar com </w:t>
      </w:r>
      <w:r w:rsidR="00B278D0">
        <w:rPr>
          <w:rFonts w:ascii="Times New Roman" w:eastAsiaTheme="minorHAnsi" w:hAnsi="Times New Roman" w:cstheme="minorBidi"/>
          <w:sz w:val="24"/>
          <w:szCs w:val="24"/>
          <w:lang w:eastAsia="en-US"/>
        </w:rPr>
        <w:t>tendências</w:t>
      </w:r>
      <w:r w:rsidR="00841CD4">
        <w:rPr>
          <w:rFonts w:ascii="Times New Roman" w:eastAsiaTheme="minorHAnsi" w:hAnsi="Times New Roman" w:cstheme="minorBidi"/>
          <w:sz w:val="24"/>
          <w:szCs w:val="24"/>
          <w:lang w:eastAsia="en-US"/>
        </w:rPr>
        <w:t>,</w:t>
      </w:r>
      <w:r w:rsidR="00B278D0">
        <w:rPr>
          <w:rFonts w:ascii="Times New Roman" w:eastAsiaTheme="minorHAnsi" w:hAnsi="Times New Roman" w:cstheme="minorBidi"/>
          <w:sz w:val="24"/>
          <w:szCs w:val="24"/>
          <w:lang w:eastAsia="en-US"/>
        </w:rPr>
        <w:t xml:space="preserve"> ou </w:t>
      </w:r>
      <w:r w:rsidR="004A5BDC" w:rsidRPr="00163397">
        <w:rPr>
          <w:rFonts w:ascii="Times New Roman" w:eastAsiaTheme="minorHAnsi" w:hAnsi="Times New Roman" w:cstheme="minorBidi"/>
          <w:sz w:val="24"/>
          <w:szCs w:val="24"/>
          <w:lang w:eastAsia="en-US"/>
        </w:rPr>
        <w:t>fatos consumados</w:t>
      </w:r>
      <w:r w:rsidR="00841CD4">
        <w:rPr>
          <w:rFonts w:ascii="Times New Roman" w:eastAsiaTheme="minorHAnsi" w:hAnsi="Times New Roman" w:cstheme="minorBidi"/>
          <w:sz w:val="24"/>
          <w:szCs w:val="24"/>
          <w:lang w:eastAsia="en-US"/>
        </w:rPr>
        <w:t>,</w:t>
      </w:r>
      <w:r w:rsidR="004A5BDC" w:rsidRPr="00163397">
        <w:rPr>
          <w:rFonts w:ascii="Times New Roman" w:eastAsiaTheme="minorHAnsi" w:hAnsi="Times New Roman" w:cstheme="minorBidi"/>
          <w:sz w:val="24"/>
          <w:szCs w:val="24"/>
          <w:lang w:eastAsia="en-US"/>
        </w:rPr>
        <w:t xml:space="preserve"> do excesso de oferta.</w:t>
      </w:r>
    </w:p>
    <w:p w14:paraId="21AEDA0D" w14:textId="112880EA" w:rsidR="00185716" w:rsidRPr="00163397" w:rsidRDefault="00E96870" w:rsidP="00CD0FEF">
      <w:pPr>
        <w:pStyle w:val="Pr-formataoHTML"/>
        <w:spacing w:line="0" w:lineRule="atLeast"/>
        <w:ind w:left="993"/>
        <w:rPr>
          <w:rFonts w:ascii="Times New Roman" w:eastAsiaTheme="minorHAnsi" w:hAnsi="Times New Roman" w:cstheme="minorBidi"/>
          <w:szCs w:val="24"/>
          <w:lang w:eastAsia="en-US"/>
        </w:rPr>
      </w:pPr>
      <w:r w:rsidRPr="00163397">
        <w:rPr>
          <w:rFonts w:ascii="Times New Roman" w:eastAsiaTheme="minorHAnsi" w:hAnsi="Times New Roman" w:cstheme="minorBidi"/>
          <w:i/>
          <w:szCs w:val="24"/>
          <w:lang w:eastAsia="en-US"/>
        </w:rPr>
        <w:t>“Como já foi bem relatada em pesquisas realizadas pelo FMI, BIS, e outros, há custos significativos decorrentes dessas crises, tanto diret</w:t>
      </w:r>
      <w:r>
        <w:rPr>
          <w:rFonts w:ascii="Times New Roman" w:eastAsiaTheme="minorHAnsi" w:hAnsi="Times New Roman" w:cstheme="minorBidi"/>
          <w:i/>
          <w:szCs w:val="24"/>
          <w:lang w:eastAsia="en-US"/>
        </w:rPr>
        <w:t>os</w:t>
      </w:r>
      <w:r w:rsidRPr="00163397">
        <w:rPr>
          <w:rFonts w:ascii="Times New Roman" w:eastAsiaTheme="minorHAnsi" w:hAnsi="Times New Roman" w:cstheme="minorBidi"/>
          <w:i/>
          <w:szCs w:val="24"/>
          <w:lang w:eastAsia="en-US"/>
        </w:rPr>
        <w:t xml:space="preserve"> (tais como o custo de recapitalizar os tomadores de depósito) e indiretos (como a perda de atividade econômica real), e isso tem demonstrado a necessidade de desenvolver um conjunto de estatísticas que poderiam apoiar os decisores políticos na identificação dos pontos fortes e nas vulnerabilidades de seu sistema financeiro e na tomada de providências para evitar a ocorrência de tais crises ocorrem.” </w:t>
      </w:r>
      <w:r w:rsidRPr="00163397">
        <w:rPr>
          <w:rFonts w:ascii="Times New Roman" w:eastAsiaTheme="minorHAnsi" w:hAnsi="Times New Roman" w:cstheme="minorBidi"/>
          <w:i/>
          <w:sz w:val="22"/>
          <w:szCs w:val="18"/>
          <w:vertAlign w:val="superscript"/>
          <w:lang w:eastAsia="en-US"/>
        </w:rPr>
        <w:footnoteReference w:id="6"/>
      </w:r>
    </w:p>
    <w:p w14:paraId="4BEFD653" w14:textId="77777777" w:rsidR="00185716" w:rsidRDefault="00185716" w:rsidP="00CD0FEF">
      <w:pPr>
        <w:autoSpaceDE w:val="0"/>
        <w:autoSpaceDN w:val="0"/>
        <w:adjustRightInd w:val="0"/>
        <w:rPr>
          <w:szCs w:val="24"/>
          <w:highlight w:val="yellow"/>
        </w:rPr>
      </w:pPr>
    </w:p>
    <w:p w14:paraId="74B226F5" w14:textId="7F1C26E2" w:rsidR="00437413" w:rsidRDefault="00437413" w:rsidP="00CD0FEF">
      <w:pPr>
        <w:autoSpaceDE w:val="0"/>
        <w:autoSpaceDN w:val="0"/>
        <w:adjustRightInd w:val="0"/>
        <w:ind w:firstLine="708"/>
        <w:rPr>
          <w:color w:val="222222"/>
          <w:lang w:val="pt-PT"/>
        </w:rPr>
      </w:pPr>
      <w:r w:rsidRPr="00437413">
        <w:rPr>
          <w:rFonts w:eastAsia="Times New Roman" w:cs="Times New Roman"/>
          <w:color w:val="222222"/>
          <w:szCs w:val="24"/>
          <w:lang w:val="pt-PT" w:eastAsia="pt-BR"/>
        </w:rPr>
        <w:t xml:space="preserve">A </w:t>
      </w:r>
      <w:r w:rsidR="008D20D2">
        <w:rPr>
          <w:rFonts w:eastAsia="Times New Roman" w:cs="Times New Roman"/>
          <w:color w:val="222222"/>
          <w:szCs w:val="24"/>
          <w:lang w:val="pt-PT" w:eastAsia="pt-BR"/>
        </w:rPr>
        <w:t xml:space="preserve">conexão </w:t>
      </w:r>
      <w:r w:rsidRPr="00437413">
        <w:rPr>
          <w:rFonts w:eastAsia="Times New Roman" w:cs="Times New Roman"/>
          <w:color w:val="222222"/>
          <w:szCs w:val="24"/>
          <w:lang w:val="pt-PT" w:eastAsia="pt-BR"/>
        </w:rPr>
        <w:t xml:space="preserve">entre </w:t>
      </w:r>
      <w:r w:rsidR="008D20D2">
        <w:rPr>
          <w:rFonts w:eastAsia="Times New Roman" w:cs="Times New Roman"/>
          <w:color w:val="222222"/>
          <w:szCs w:val="24"/>
          <w:lang w:val="pt-PT" w:eastAsia="pt-BR"/>
        </w:rPr>
        <w:t xml:space="preserve">o comportamento dos </w:t>
      </w:r>
      <w:r w:rsidRPr="00437413">
        <w:rPr>
          <w:rFonts w:eastAsia="Times New Roman" w:cs="Times New Roman"/>
          <w:color w:val="222222"/>
          <w:szCs w:val="24"/>
          <w:lang w:val="pt-PT" w:eastAsia="pt-BR"/>
        </w:rPr>
        <w:t xml:space="preserve">preços dos imóveis e </w:t>
      </w:r>
      <w:r w:rsidR="0094665E">
        <w:rPr>
          <w:rFonts w:eastAsia="Times New Roman" w:cs="Times New Roman"/>
          <w:color w:val="222222"/>
          <w:szCs w:val="24"/>
          <w:lang w:val="pt-PT" w:eastAsia="pt-BR"/>
        </w:rPr>
        <w:t xml:space="preserve">a </w:t>
      </w:r>
      <w:r w:rsidRPr="00437413">
        <w:rPr>
          <w:rFonts w:eastAsia="Times New Roman" w:cs="Times New Roman"/>
          <w:color w:val="222222"/>
          <w:szCs w:val="24"/>
          <w:lang w:val="pt-PT" w:eastAsia="pt-BR"/>
        </w:rPr>
        <w:t>demanda agregada sugere que as autoridades monetárias podem se beneficiar de</w:t>
      </w:r>
      <w:r w:rsidR="00E5586A">
        <w:rPr>
          <w:rFonts w:eastAsia="Times New Roman" w:cs="Times New Roman"/>
          <w:color w:val="222222"/>
          <w:szCs w:val="24"/>
          <w:lang w:val="pt-PT" w:eastAsia="pt-BR"/>
        </w:rPr>
        <w:t xml:space="preserve"> </w:t>
      </w:r>
      <w:r w:rsidRPr="00437413">
        <w:rPr>
          <w:rFonts w:eastAsia="Times New Roman" w:cs="Times New Roman"/>
          <w:color w:val="222222"/>
          <w:szCs w:val="24"/>
          <w:lang w:val="pt-PT" w:eastAsia="pt-BR"/>
        </w:rPr>
        <w:t xml:space="preserve">acompanhamento dos </w:t>
      </w:r>
      <w:r w:rsidR="00841CD4">
        <w:rPr>
          <w:rFonts w:eastAsia="Times New Roman" w:cs="Times New Roman"/>
          <w:color w:val="222222"/>
          <w:szCs w:val="24"/>
          <w:lang w:val="pt-PT" w:eastAsia="pt-BR"/>
        </w:rPr>
        <w:t>negó</w:t>
      </w:r>
      <w:r w:rsidR="006250AF">
        <w:rPr>
          <w:rFonts w:eastAsia="Times New Roman" w:cs="Times New Roman"/>
          <w:color w:val="222222"/>
          <w:szCs w:val="24"/>
          <w:lang w:val="pt-PT" w:eastAsia="pt-BR"/>
        </w:rPr>
        <w:t>cios nos mercados imobiliários</w:t>
      </w:r>
      <w:r w:rsidRPr="00437413">
        <w:rPr>
          <w:rFonts w:eastAsia="Times New Roman" w:cs="Times New Roman"/>
          <w:color w:val="222222"/>
          <w:szCs w:val="24"/>
          <w:lang w:val="pt-PT" w:eastAsia="pt-BR"/>
        </w:rPr>
        <w:t xml:space="preserve">. </w:t>
      </w:r>
      <w:r w:rsidR="00386EC8">
        <w:rPr>
          <w:rFonts w:eastAsia="Times New Roman" w:cs="Times New Roman"/>
          <w:color w:val="222222"/>
          <w:szCs w:val="24"/>
          <w:lang w:val="pt-PT" w:eastAsia="pt-BR"/>
        </w:rPr>
        <w:t>O entendimento de que os “</w:t>
      </w:r>
      <w:r w:rsidR="00386EC8" w:rsidRPr="00386EC8">
        <w:rPr>
          <w:rFonts w:eastAsia="Times New Roman" w:cs="Times New Roman"/>
          <w:i/>
          <w:color w:val="222222"/>
          <w:szCs w:val="24"/>
          <w:lang w:val="pt-PT" w:eastAsia="pt-BR"/>
        </w:rPr>
        <w:t>policy makers</w:t>
      </w:r>
      <w:r w:rsidR="00386EC8">
        <w:rPr>
          <w:rFonts w:eastAsia="Times New Roman" w:cs="Times New Roman"/>
          <w:color w:val="222222"/>
          <w:szCs w:val="24"/>
          <w:lang w:val="pt-PT" w:eastAsia="pt-BR"/>
        </w:rPr>
        <w:t xml:space="preserve">” </w:t>
      </w:r>
      <w:r w:rsidRPr="00437413">
        <w:rPr>
          <w:rFonts w:eastAsia="Times New Roman" w:cs="Times New Roman"/>
          <w:color w:val="222222"/>
          <w:szCs w:val="24"/>
          <w:lang w:val="pt-PT" w:eastAsia="pt-BR"/>
        </w:rPr>
        <w:t>devem re</w:t>
      </w:r>
      <w:r w:rsidR="00625A60">
        <w:rPr>
          <w:rFonts w:eastAsia="Times New Roman" w:cs="Times New Roman"/>
          <w:color w:val="222222"/>
          <w:szCs w:val="24"/>
          <w:lang w:val="pt-PT" w:eastAsia="pt-BR"/>
        </w:rPr>
        <w:t xml:space="preserve">agir </w:t>
      </w:r>
      <w:r w:rsidRPr="00437413">
        <w:rPr>
          <w:rFonts w:eastAsia="Times New Roman" w:cs="Times New Roman"/>
          <w:color w:val="222222"/>
          <w:szCs w:val="24"/>
          <w:lang w:val="pt-PT" w:eastAsia="pt-BR"/>
        </w:rPr>
        <w:t>aos aumentos excessivos nos valores dos imóveis</w:t>
      </w:r>
      <w:r w:rsidR="000E2C46">
        <w:rPr>
          <w:rFonts w:eastAsia="Times New Roman" w:cs="Times New Roman"/>
          <w:color w:val="222222"/>
          <w:szCs w:val="24"/>
          <w:lang w:val="pt-PT" w:eastAsia="pt-BR"/>
        </w:rPr>
        <w:t>,</w:t>
      </w:r>
      <w:r w:rsidRPr="00437413">
        <w:rPr>
          <w:rFonts w:eastAsia="Times New Roman" w:cs="Times New Roman"/>
          <w:color w:val="222222"/>
          <w:szCs w:val="24"/>
          <w:lang w:val="pt-PT" w:eastAsia="pt-BR"/>
        </w:rPr>
        <w:t xml:space="preserve"> que são manifestações de excesso de demanda na economia</w:t>
      </w:r>
      <w:r w:rsidR="00386EC8">
        <w:rPr>
          <w:rFonts w:eastAsia="Times New Roman" w:cs="Times New Roman"/>
          <w:color w:val="222222"/>
          <w:szCs w:val="24"/>
          <w:lang w:val="pt-PT" w:eastAsia="pt-BR"/>
        </w:rPr>
        <w:t>,</w:t>
      </w:r>
      <w:r w:rsidRPr="00437413">
        <w:rPr>
          <w:rFonts w:eastAsia="Times New Roman" w:cs="Times New Roman"/>
          <w:color w:val="222222"/>
          <w:szCs w:val="24"/>
          <w:lang w:val="pt-PT" w:eastAsia="pt-BR"/>
        </w:rPr>
        <w:t xml:space="preserve"> t</w:t>
      </w:r>
      <w:r w:rsidR="00841CD4">
        <w:rPr>
          <w:rFonts w:eastAsia="Times New Roman" w:cs="Times New Roman"/>
          <w:color w:val="222222"/>
          <w:szCs w:val="24"/>
          <w:lang w:val="pt-PT" w:eastAsia="pt-BR"/>
        </w:rPr>
        <w:t>ê</w:t>
      </w:r>
      <w:r w:rsidRPr="00437413">
        <w:rPr>
          <w:rFonts w:eastAsia="Times New Roman" w:cs="Times New Roman"/>
          <w:color w:val="222222"/>
          <w:szCs w:val="24"/>
          <w:lang w:val="pt-PT" w:eastAsia="pt-BR"/>
        </w:rPr>
        <w:t xml:space="preserve">m </w:t>
      </w:r>
      <w:r w:rsidR="00386EC8">
        <w:rPr>
          <w:rFonts w:eastAsia="Times New Roman" w:cs="Times New Roman"/>
          <w:color w:val="222222"/>
          <w:szCs w:val="24"/>
          <w:lang w:val="pt-PT" w:eastAsia="pt-BR"/>
        </w:rPr>
        <w:t>sido visto com bons olhos</w:t>
      </w:r>
      <w:r w:rsidR="00625A60">
        <w:rPr>
          <w:rFonts w:eastAsia="Times New Roman" w:cs="Times New Roman"/>
          <w:color w:val="222222"/>
          <w:szCs w:val="24"/>
          <w:lang w:val="pt-PT" w:eastAsia="pt-BR"/>
        </w:rPr>
        <w:t xml:space="preserve"> pelos </w:t>
      </w:r>
      <w:r w:rsidRPr="00437413">
        <w:rPr>
          <w:rFonts w:eastAsia="Times New Roman" w:cs="Times New Roman"/>
          <w:color w:val="222222"/>
          <w:szCs w:val="24"/>
          <w:lang w:val="pt-PT" w:eastAsia="pt-BR"/>
        </w:rPr>
        <w:t>banco</w:t>
      </w:r>
      <w:r w:rsidR="00A155E3">
        <w:rPr>
          <w:rFonts w:eastAsia="Times New Roman" w:cs="Times New Roman"/>
          <w:color w:val="222222"/>
          <w:szCs w:val="24"/>
          <w:lang w:val="pt-PT" w:eastAsia="pt-BR"/>
        </w:rPr>
        <w:t>s</w:t>
      </w:r>
      <w:r w:rsidRPr="00437413">
        <w:rPr>
          <w:rFonts w:eastAsia="Times New Roman" w:cs="Times New Roman"/>
          <w:color w:val="222222"/>
          <w:szCs w:val="24"/>
          <w:lang w:val="pt-PT" w:eastAsia="pt-BR"/>
        </w:rPr>
        <w:t xml:space="preserve"> centra</w:t>
      </w:r>
      <w:r w:rsidR="00625A60">
        <w:rPr>
          <w:rFonts w:eastAsia="Times New Roman" w:cs="Times New Roman"/>
          <w:color w:val="222222"/>
          <w:szCs w:val="24"/>
          <w:lang w:val="pt-PT" w:eastAsia="pt-BR"/>
        </w:rPr>
        <w:t>is</w:t>
      </w:r>
      <w:r w:rsidRPr="00437413">
        <w:rPr>
          <w:rFonts w:eastAsia="Times New Roman" w:cs="Times New Roman"/>
          <w:color w:val="222222"/>
          <w:szCs w:val="24"/>
          <w:lang w:val="pt-PT" w:eastAsia="pt-BR"/>
        </w:rPr>
        <w:t xml:space="preserve">. </w:t>
      </w:r>
      <w:r w:rsidR="002A5EAC">
        <w:rPr>
          <w:rFonts w:eastAsia="Times New Roman" w:cs="Times New Roman"/>
          <w:color w:val="222222"/>
          <w:szCs w:val="24"/>
          <w:lang w:val="pt-PT" w:eastAsia="pt-BR"/>
        </w:rPr>
        <w:t>O</w:t>
      </w:r>
      <w:r w:rsidRPr="00437413">
        <w:rPr>
          <w:rFonts w:eastAsia="Times New Roman" w:cs="Times New Roman"/>
          <w:color w:val="222222"/>
          <w:szCs w:val="24"/>
          <w:lang w:val="pt-PT" w:eastAsia="pt-BR"/>
        </w:rPr>
        <w:t>s formuladores de políticas monetárias precisam identificar as fontes e</w:t>
      </w:r>
      <w:r w:rsidR="006250AF">
        <w:rPr>
          <w:rFonts w:eastAsia="Times New Roman" w:cs="Times New Roman"/>
          <w:color w:val="222222"/>
          <w:szCs w:val="24"/>
          <w:lang w:val="pt-PT" w:eastAsia="pt-BR"/>
        </w:rPr>
        <w:t xml:space="preserve"> </w:t>
      </w:r>
      <w:r w:rsidRPr="00437413">
        <w:rPr>
          <w:rFonts w:eastAsia="Times New Roman" w:cs="Times New Roman"/>
          <w:color w:val="222222"/>
          <w:szCs w:val="24"/>
          <w:lang w:val="pt-PT" w:eastAsia="pt-BR"/>
        </w:rPr>
        <w:t>a natureza das flutu</w:t>
      </w:r>
      <w:r w:rsidR="006250AF">
        <w:rPr>
          <w:rFonts w:eastAsia="Times New Roman" w:cs="Times New Roman"/>
          <w:color w:val="222222"/>
          <w:szCs w:val="24"/>
          <w:lang w:val="pt-PT" w:eastAsia="pt-BR"/>
        </w:rPr>
        <w:t>ações dos preços dos imóveis</w:t>
      </w:r>
      <w:r w:rsidRPr="00437413">
        <w:rPr>
          <w:rFonts w:eastAsia="Times New Roman" w:cs="Times New Roman"/>
          <w:color w:val="222222"/>
          <w:szCs w:val="24"/>
          <w:lang w:val="pt-PT" w:eastAsia="pt-BR"/>
        </w:rPr>
        <w:t xml:space="preserve">, a fim de compreender as suas implicações para a </w:t>
      </w:r>
      <w:r w:rsidR="002A5EAC">
        <w:rPr>
          <w:rFonts w:eastAsia="Times New Roman" w:cs="Times New Roman"/>
          <w:color w:val="222222"/>
          <w:szCs w:val="24"/>
          <w:lang w:val="pt-PT" w:eastAsia="pt-BR"/>
        </w:rPr>
        <w:t>ins</w:t>
      </w:r>
      <w:r w:rsidRPr="00437413">
        <w:rPr>
          <w:rFonts w:eastAsia="Times New Roman" w:cs="Times New Roman"/>
          <w:color w:val="222222"/>
          <w:szCs w:val="24"/>
          <w:lang w:val="pt-PT" w:eastAsia="pt-BR"/>
        </w:rPr>
        <w:t>tabilidade do</w:t>
      </w:r>
      <w:r w:rsidR="00F008B2">
        <w:rPr>
          <w:rFonts w:eastAsia="Times New Roman" w:cs="Times New Roman"/>
          <w:color w:val="222222"/>
          <w:szCs w:val="24"/>
          <w:lang w:val="pt-PT" w:eastAsia="pt-BR"/>
        </w:rPr>
        <w:t>s preços e da economia em geral</w:t>
      </w:r>
      <w:r w:rsidRPr="00437413">
        <w:rPr>
          <w:rFonts w:eastAsia="Times New Roman" w:cs="Times New Roman"/>
          <w:color w:val="222222"/>
          <w:szCs w:val="24"/>
          <w:lang w:val="pt-PT" w:eastAsia="pt-BR"/>
        </w:rPr>
        <w:t xml:space="preserve">, </w:t>
      </w:r>
      <w:r w:rsidR="002A5EAC">
        <w:rPr>
          <w:rFonts w:eastAsia="Times New Roman" w:cs="Times New Roman"/>
          <w:color w:val="222222"/>
          <w:szCs w:val="24"/>
          <w:lang w:val="pt-PT" w:eastAsia="pt-BR"/>
        </w:rPr>
        <w:t xml:space="preserve">para </w:t>
      </w:r>
      <w:r w:rsidRPr="00437413">
        <w:rPr>
          <w:rFonts w:eastAsia="Times New Roman" w:cs="Times New Roman"/>
          <w:color w:val="222222"/>
          <w:szCs w:val="24"/>
          <w:lang w:val="pt-PT" w:eastAsia="pt-BR"/>
        </w:rPr>
        <w:t>em seguida formular resposta</w:t>
      </w:r>
      <w:r w:rsidR="00F008B2">
        <w:rPr>
          <w:rFonts w:eastAsia="Times New Roman" w:cs="Times New Roman"/>
          <w:color w:val="222222"/>
          <w:szCs w:val="24"/>
          <w:lang w:val="pt-PT" w:eastAsia="pt-BR"/>
        </w:rPr>
        <w:t xml:space="preserve"> em termos de uma</w:t>
      </w:r>
      <w:r w:rsidRPr="00437413">
        <w:rPr>
          <w:rFonts w:eastAsia="Times New Roman" w:cs="Times New Roman"/>
          <w:color w:val="222222"/>
          <w:szCs w:val="24"/>
          <w:lang w:val="pt-PT" w:eastAsia="pt-BR"/>
        </w:rPr>
        <w:t xml:space="preserve"> política</w:t>
      </w:r>
      <w:r w:rsidR="00F008B2">
        <w:rPr>
          <w:rFonts w:eastAsia="Times New Roman" w:cs="Times New Roman"/>
          <w:color w:val="222222"/>
          <w:szCs w:val="24"/>
          <w:lang w:val="pt-PT" w:eastAsia="pt-BR"/>
        </w:rPr>
        <w:t xml:space="preserve"> </w:t>
      </w:r>
      <w:r w:rsidR="00625A60">
        <w:rPr>
          <w:rFonts w:eastAsia="Times New Roman" w:cs="Times New Roman"/>
          <w:color w:val="222222"/>
          <w:szCs w:val="24"/>
          <w:lang w:val="pt-PT" w:eastAsia="pt-BR"/>
        </w:rPr>
        <w:t>monetária/</w:t>
      </w:r>
      <w:r w:rsidR="00F008B2">
        <w:rPr>
          <w:rFonts w:eastAsia="Times New Roman" w:cs="Times New Roman"/>
          <w:color w:val="222222"/>
          <w:szCs w:val="24"/>
          <w:lang w:val="pt-PT" w:eastAsia="pt-BR"/>
        </w:rPr>
        <w:t>economica</w:t>
      </w:r>
      <w:r w:rsidRPr="00437413">
        <w:rPr>
          <w:rFonts w:eastAsia="Times New Roman" w:cs="Times New Roman"/>
          <w:color w:val="222222"/>
          <w:szCs w:val="24"/>
          <w:lang w:val="pt-PT" w:eastAsia="pt-BR"/>
        </w:rPr>
        <w:t xml:space="preserve"> adequada.</w:t>
      </w:r>
      <w:r w:rsidR="00625A60">
        <w:rPr>
          <w:rFonts w:eastAsia="Times New Roman" w:cs="Times New Roman"/>
          <w:color w:val="222222"/>
          <w:szCs w:val="24"/>
          <w:lang w:val="pt-PT" w:eastAsia="pt-BR"/>
        </w:rPr>
        <w:t xml:space="preserve"> </w:t>
      </w:r>
      <w:r w:rsidR="00376C98">
        <w:rPr>
          <w:color w:val="222222"/>
          <w:lang w:val="pt-PT"/>
        </w:rPr>
        <w:t>No enta</w:t>
      </w:r>
      <w:r w:rsidR="00625A60">
        <w:rPr>
          <w:color w:val="222222"/>
          <w:lang w:val="pt-PT"/>
        </w:rPr>
        <w:t>nto, na prática</w:t>
      </w:r>
      <w:r w:rsidR="00376C98">
        <w:rPr>
          <w:color w:val="222222"/>
          <w:lang w:val="pt-PT"/>
        </w:rPr>
        <w:t xml:space="preserve">, surgem problemas críticos </w:t>
      </w:r>
      <w:r w:rsidR="007B0FA4">
        <w:rPr>
          <w:color w:val="222222"/>
          <w:lang w:val="pt-PT"/>
        </w:rPr>
        <w:t>indicando grandes dificuldades na aplicação de medidas desse tipo.</w:t>
      </w:r>
    </w:p>
    <w:p w14:paraId="718D70E6" w14:textId="31B9C338" w:rsidR="00376C98" w:rsidRPr="00137B5D" w:rsidRDefault="007B0FA4" w:rsidP="00CD0FEF">
      <w:pPr>
        <w:pStyle w:val="Pr-formataoHTML"/>
        <w:rPr>
          <w:rFonts w:ascii="Times New Roman" w:hAnsi="Times New Roman" w:cs="Times New Roman"/>
          <w:color w:val="222222"/>
          <w:sz w:val="24"/>
          <w:szCs w:val="24"/>
          <w:lang w:val="pt-PT"/>
        </w:rPr>
      </w:pPr>
      <w:r>
        <w:rPr>
          <w:rFonts w:ascii="Times New Roman" w:hAnsi="Times New Roman" w:cs="Times New Roman"/>
          <w:color w:val="222222"/>
          <w:sz w:val="24"/>
          <w:szCs w:val="24"/>
          <w:lang w:val="pt-PT"/>
        </w:rPr>
        <w:tab/>
      </w:r>
      <w:r w:rsidR="00376C98" w:rsidRPr="00137B5D">
        <w:rPr>
          <w:rFonts w:ascii="Times New Roman" w:hAnsi="Times New Roman" w:cs="Times New Roman"/>
          <w:color w:val="222222"/>
          <w:sz w:val="24"/>
          <w:szCs w:val="24"/>
          <w:lang w:val="pt-PT"/>
        </w:rPr>
        <w:t xml:space="preserve">Em primeiro lugar, muitas vezes não é fácil identificar </w:t>
      </w:r>
      <w:r w:rsidR="006200FF" w:rsidRPr="00137B5D">
        <w:rPr>
          <w:rFonts w:ascii="Times New Roman" w:hAnsi="Times New Roman" w:cs="Times New Roman"/>
          <w:color w:val="222222"/>
          <w:sz w:val="24"/>
          <w:szCs w:val="24"/>
          <w:lang w:val="pt-PT"/>
        </w:rPr>
        <w:t xml:space="preserve">o que seja </w:t>
      </w:r>
      <w:r w:rsidR="00376C98" w:rsidRPr="00137B5D">
        <w:rPr>
          <w:rFonts w:ascii="Times New Roman" w:hAnsi="Times New Roman" w:cs="Times New Roman"/>
          <w:color w:val="222222"/>
          <w:sz w:val="24"/>
          <w:szCs w:val="24"/>
          <w:lang w:val="pt-PT"/>
        </w:rPr>
        <w:t xml:space="preserve">"excessivo" </w:t>
      </w:r>
      <w:r w:rsidR="006200FF" w:rsidRPr="00137B5D">
        <w:rPr>
          <w:rFonts w:ascii="Times New Roman" w:hAnsi="Times New Roman" w:cs="Times New Roman"/>
          <w:color w:val="222222"/>
          <w:sz w:val="24"/>
          <w:szCs w:val="24"/>
          <w:lang w:val="pt-PT"/>
        </w:rPr>
        <w:t xml:space="preserve">em termos de </w:t>
      </w:r>
      <w:r w:rsidR="00376C98" w:rsidRPr="00137B5D">
        <w:rPr>
          <w:rFonts w:ascii="Times New Roman" w:hAnsi="Times New Roman" w:cs="Times New Roman"/>
          <w:color w:val="222222"/>
          <w:sz w:val="24"/>
          <w:szCs w:val="24"/>
          <w:lang w:val="pt-PT"/>
        </w:rPr>
        <w:t>inflação dos preços d</w:t>
      </w:r>
      <w:r w:rsidR="006200FF" w:rsidRPr="00137B5D">
        <w:rPr>
          <w:rFonts w:ascii="Times New Roman" w:hAnsi="Times New Roman" w:cs="Times New Roman"/>
          <w:color w:val="222222"/>
          <w:sz w:val="24"/>
          <w:szCs w:val="24"/>
          <w:lang w:val="pt-PT"/>
        </w:rPr>
        <w:t xml:space="preserve">e imóveis </w:t>
      </w:r>
      <w:r w:rsidR="00892B5F">
        <w:rPr>
          <w:rFonts w:ascii="Times New Roman" w:hAnsi="Times New Roman" w:cs="Times New Roman"/>
          <w:color w:val="222222"/>
          <w:sz w:val="24"/>
          <w:szCs w:val="24"/>
          <w:lang w:val="pt-PT"/>
        </w:rPr>
        <w:t xml:space="preserve">durante o </w:t>
      </w:r>
      <w:r w:rsidR="00F17FAE" w:rsidRPr="00137B5D">
        <w:rPr>
          <w:rFonts w:ascii="Times New Roman" w:hAnsi="Times New Roman" w:cs="Times New Roman"/>
          <w:color w:val="222222"/>
          <w:sz w:val="24"/>
          <w:szCs w:val="24"/>
          <w:lang w:val="pt-PT"/>
        </w:rPr>
        <w:t>movimento de alta. Falta de dados confiáveis</w:t>
      </w:r>
      <w:r w:rsidR="00376C98" w:rsidRPr="00137B5D">
        <w:rPr>
          <w:rFonts w:ascii="Times New Roman" w:hAnsi="Times New Roman" w:cs="Times New Roman"/>
          <w:color w:val="222222"/>
          <w:sz w:val="24"/>
          <w:szCs w:val="24"/>
          <w:lang w:val="pt-PT"/>
        </w:rPr>
        <w:t>​​, a diversidade de métodos de avaliação</w:t>
      </w:r>
      <w:r>
        <w:rPr>
          <w:rFonts w:ascii="Times New Roman" w:hAnsi="Times New Roman" w:cs="Times New Roman"/>
          <w:color w:val="222222"/>
          <w:sz w:val="24"/>
          <w:szCs w:val="24"/>
          <w:lang w:val="pt-PT"/>
        </w:rPr>
        <w:t>, conflito com outros indicadores</w:t>
      </w:r>
      <w:r w:rsidR="00376C98" w:rsidRPr="00137B5D">
        <w:rPr>
          <w:rFonts w:ascii="Times New Roman" w:hAnsi="Times New Roman" w:cs="Times New Roman"/>
          <w:color w:val="222222"/>
          <w:sz w:val="24"/>
          <w:szCs w:val="24"/>
          <w:lang w:val="pt-PT"/>
        </w:rPr>
        <w:t xml:space="preserve"> e </w:t>
      </w:r>
      <w:r w:rsidR="00BC1F30" w:rsidRPr="00137B5D">
        <w:rPr>
          <w:rFonts w:ascii="Times New Roman" w:hAnsi="Times New Roman" w:cs="Times New Roman"/>
          <w:color w:val="222222"/>
          <w:sz w:val="24"/>
          <w:szCs w:val="24"/>
          <w:lang w:val="pt-PT"/>
        </w:rPr>
        <w:t xml:space="preserve">a </w:t>
      </w:r>
      <w:r w:rsidR="00376C98" w:rsidRPr="00137B5D">
        <w:rPr>
          <w:rFonts w:ascii="Times New Roman" w:hAnsi="Times New Roman" w:cs="Times New Roman"/>
          <w:color w:val="222222"/>
          <w:sz w:val="24"/>
          <w:szCs w:val="24"/>
          <w:lang w:val="pt-PT"/>
        </w:rPr>
        <w:t xml:space="preserve">imprevisibilidade dos movimentos do mercado tornam difícil para os </w:t>
      </w:r>
      <w:r w:rsidRPr="007B0FA4">
        <w:rPr>
          <w:rFonts w:ascii="Times New Roman" w:hAnsi="Times New Roman" w:cs="Times New Roman"/>
          <w:i/>
          <w:color w:val="222222"/>
          <w:sz w:val="24"/>
          <w:szCs w:val="24"/>
          <w:lang w:val="pt-PT"/>
        </w:rPr>
        <w:t>“policy makers”</w:t>
      </w:r>
      <w:r w:rsidR="00376C98" w:rsidRPr="00137B5D">
        <w:rPr>
          <w:rFonts w:ascii="Times New Roman" w:hAnsi="Times New Roman" w:cs="Times New Roman"/>
          <w:color w:val="222222"/>
          <w:sz w:val="24"/>
          <w:szCs w:val="24"/>
          <w:lang w:val="pt-PT"/>
        </w:rPr>
        <w:t xml:space="preserve"> conceber um sinal de alerta precoce </w:t>
      </w:r>
      <w:r w:rsidR="002D7004">
        <w:rPr>
          <w:rFonts w:ascii="Times New Roman" w:hAnsi="Times New Roman" w:cs="Times New Roman"/>
          <w:color w:val="222222"/>
          <w:sz w:val="24"/>
          <w:szCs w:val="24"/>
          <w:lang w:val="pt-PT"/>
        </w:rPr>
        <w:t>que indique</w:t>
      </w:r>
      <w:r w:rsidR="00DD43B6">
        <w:rPr>
          <w:rFonts w:ascii="Times New Roman" w:hAnsi="Times New Roman" w:cs="Times New Roman"/>
          <w:color w:val="222222"/>
          <w:sz w:val="24"/>
          <w:szCs w:val="24"/>
          <w:lang w:val="pt-PT"/>
        </w:rPr>
        <w:t xml:space="preserve">, </w:t>
      </w:r>
      <w:r w:rsidR="00DD43B6" w:rsidRPr="00137B5D">
        <w:rPr>
          <w:rFonts w:ascii="Times New Roman" w:hAnsi="Times New Roman" w:cs="Times New Roman"/>
          <w:color w:val="222222"/>
          <w:sz w:val="24"/>
          <w:szCs w:val="24"/>
          <w:lang w:val="pt-PT"/>
        </w:rPr>
        <w:t>com um grau confortável de confiança</w:t>
      </w:r>
      <w:r w:rsidR="00DD43B6">
        <w:rPr>
          <w:rFonts w:ascii="Times New Roman" w:hAnsi="Times New Roman" w:cs="Times New Roman"/>
          <w:color w:val="222222"/>
          <w:sz w:val="24"/>
          <w:szCs w:val="24"/>
          <w:lang w:val="pt-PT"/>
        </w:rPr>
        <w:t>,</w:t>
      </w:r>
      <w:r w:rsidR="002D7004">
        <w:rPr>
          <w:rFonts w:ascii="Times New Roman" w:hAnsi="Times New Roman" w:cs="Times New Roman"/>
          <w:color w:val="222222"/>
          <w:sz w:val="24"/>
          <w:szCs w:val="24"/>
          <w:lang w:val="pt-PT"/>
        </w:rPr>
        <w:t xml:space="preserve"> </w:t>
      </w:r>
      <w:r w:rsidR="00376C98" w:rsidRPr="00137B5D">
        <w:rPr>
          <w:rFonts w:ascii="Times New Roman" w:hAnsi="Times New Roman" w:cs="Times New Roman"/>
          <w:color w:val="222222"/>
          <w:sz w:val="24"/>
          <w:szCs w:val="24"/>
          <w:lang w:val="pt-PT"/>
        </w:rPr>
        <w:t xml:space="preserve">desequilíbrios nos preços dos ativos </w:t>
      </w:r>
      <w:r w:rsidR="00BC1F30" w:rsidRPr="00137B5D">
        <w:rPr>
          <w:rFonts w:ascii="Times New Roman" w:hAnsi="Times New Roman" w:cs="Times New Roman"/>
          <w:color w:val="222222"/>
          <w:sz w:val="24"/>
          <w:szCs w:val="24"/>
          <w:lang w:val="pt-PT"/>
        </w:rPr>
        <w:t>no</w:t>
      </w:r>
      <w:r w:rsidR="00376C98" w:rsidRPr="00137B5D">
        <w:rPr>
          <w:rFonts w:ascii="Times New Roman" w:hAnsi="Times New Roman" w:cs="Times New Roman"/>
          <w:color w:val="222222"/>
          <w:sz w:val="24"/>
          <w:szCs w:val="24"/>
          <w:lang w:val="pt-PT"/>
        </w:rPr>
        <w:t xml:space="preserve"> mercado imobiliário.</w:t>
      </w:r>
    </w:p>
    <w:p w14:paraId="284B2C32" w14:textId="49D86426" w:rsidR="004B21B9" w:rsidRDefault="00DD43B6" w:rsidP="00CD0FEF">
      <w:pPr>
        <w:pStyle w:val="Pr-formataoHTML"/>
        <w:rPr>
          <w:rFonts w:ascii="Times New Roman" w:hAnsi="Times New Roman" w:cs="Times New Roman"/>
          <w:color w:val="222222"/>
          <w:sz w:val="24"/>
          <w:szCs w:val="24"/>
          <w:lang w:val="pt-PT"/>
        </w:rPr>
      </w:pPr>
      <w:r>
        <w:rPr>
          <w:rFonts w:ascii="Times New Roman" w:hAnsi="Times New Roman" w:cs="Times New Roman"/>
          <w:color w:val="222222"/>
          <w:sz w:val="24"/>
          <w:szCs w:val="24"/>
          <w:lang w:val="pt-PT"/>
        </w:rPr>
        <w:tab/>
      </w:r>
      <w:r w:rsidR="00376C98" w:rsidRPr="00137B5D">
        <w:rPr>
          <w:rFonts w:ascii="Times New Roman" w:hAnsi="Times New Roman" w:cs="Times New Roman"/>
          <w:color w:val="222222"/>
          <w:sz w:val="24"/>
          <w:szCs w:val="24"/>
          <w:lang w:val="pt-PT"/>
        </w:rPr>
        <w:t>Em segundo lugar é tecnicamente difícil prever os efeitos exatos da política monetária sobre o mercado imobiliário e sobre a macroeconomia.</w:t>
      </w:r>
      <w:r>
        <w:rPr>
          <w:rFonts w:ascii="Times New Roman" w:hAnsi="Times New Roman" w:cs="Times New Roman"/>
          <w:color w:val="222222"/>
          <w:sz w:val="24"/>
          <w:szCs w:val="24"/>
          <w:lang w:val="pt-PT"/>
        </w:rPr>
        <w:t xml:space="preserve"> </w:t>
      </w:r>
      <w:r w:rsidR="004B21B9" w:rsidRPr="00DD43B6">
        <w:rPr>
          <w:rFonts w:ascii="Times New Roman" w:hAnsi="Times New Roman" w:cs="Times New Roman"/>
          <w:color w:val="222222"/>
          <w:sz w:val="24"/>
          <w:szCs w:val="24"/>
          <w:lang w:val="pt-PT"/>
        </w:rPr>
        <w:t xml:space="preserve">Em </w:t>
      </w:r>
      <w:r w:rsidR="002D7004" w:rsidRPr="00DD43B6">
        <w:rPr>
          <w:rFonts w:ascii="Times New Roman" w:hAnsi="Times New Roman" w:cs="Times New Roman"/>
          <w:color w:val="222222"/>
          <w:sz w:val="24"/>
          <w:szCs w:val="24"/>
          <w:lang w:val="pt-PT"/>
        </w:rPr>
        <w:t xml:space="preserve">vários </w:t>
      </w:r>
      <w:r w:rsidR="004B21B9" w:rsidRPr="00DD43B6">
        <w:rPr>
          <w:rFonts w:ascii="Times New Roman" w:hAnsi="Times New Roman" w:cs="Times New Roman"/>
          <w:color w:val="222222"/>
          <w:sz w:val="24"/>
          <w:szCs w:val="24"/>
          <w:lang w:val="pt-PT"/>
        </w:rPr>
        <w:t xml:space="preserve">casos as autoridades monetárias </w:t>
      </w:r>
      <w:r w:rsidR="002D7004" w:rsidRPr="00DD43B6">
        <w:rPr>
          <w:rFonts w:ascii="Times New Roman" w:hAnsi="Times New Roman" w:cs="Times New Roman"/>
          <w:color w:val="222222"/>
          <w:sz w:val="24"/>
          <w:szCs w:val="24"/>
          <w:lang w:val="pt-PT"/>
        </w:rPr>
        <w:t xml:space="preserve">podem se </w:t>
      </w:r>
      <w:proofErr w:type="gramStart"/>
      <w:r w:rsidR="002D7004" w:rsidRPr="00DD43B6">
        <w:rPr>
          <w:rFonts w:ascii="Times New Roman" w:hAnsi="Times New Roman" w:cs="Times New Roman"/>
          <w:color w:val="222222"/>
          <w:sz w:val="24"/>
          <w:szCs w:val="24"/>
          <w:lang w:val="pt-PT"/>
        </w:rPr>
        <w:t>ver</w:t>
      </w:r>
      <w:proofErr w:type="gramEnd"/>
      <w:r w:rsidR="002D7004" w:rsidRPr="00DD43B6">
        <w:rPr>
          <w:rFonts w:ascii="Times New Roman" w:hAnsi="Times New Roman" w:cs="Times New Roman"/>
          <w:color w:val="222222"/>
          <w:sz w:val="24"/>
          <w:szCs w:val="24"/>
          <w:lang w:val="pt-PT"/>
        </w:rPr>
        <w:t xml:space="preserve"> frente a </w:t>
      </w:r>
      <w:r w:rsidR="004B21B9" w:rsidRPr="00DD43B6">
        <w:rPr>
          <w:rFonts w:ascii="Times New Roman" w:hAnsi="Times New Roman" w:cs="Times New Roman"/>
          <w:color w:val="222222"/>
          <w:sz w:val="24"/>
          <w:szCs w:val="24"/>
          <w:lang w:val="pt-PT"/>
        </w:rPr>
        <w:t>dilema</w:t>
      </w:r>
      <w:r w:rsidR="00FF4BE9" w:rsidRPr="00DD43B6">
        <w:rPr>
          <w:rFonts w:ascii="Times New Roman" w:hAnsi="Times New Roman" w:cs="Times New Roman"/>
          <w:color w:val="222222"/>
          <w:sz w:val="24"/>
          <w:szCs w:val="24"/>
          <w:lang w:val="pt-PT"/>
        </w:rPr>
        <w:t>s</w:t>
      </w:r>
      <w:r w:rsidR="004B21B9" w:rsidRPr="00DD43B6">
        <w:rPr>
          <w:rFonts w:ascii="Times New Roman" w:hAnsi="Times New Roman" w:cs="Times New Roman"/>
          <w:color w:val="222222"/>
          <w:sz w:val="24"/>
          <w:szCs w:val="24"/>
          <w:lang w:val="pt-PT"/>
        </w:rPr>
        <w:t xml:space="preserve">, </w:t>
      </w:r>
      <w:r w:rsidR="00253E5F" w:rsidRPr="00DD43B6">
        <w:rPr>
          <w:rFonts w:ascii="Times New Roman" w:hAnsi="Times New Roman" w:cs="Times New Roman"/>
          <w:color w:val="222222"/>
          <w:sz w:val="24"/>
          <w:szCs w:val="24"/>
          <w:lang w:val="pt-PT"/>
        </w:rPr>
        <w:t xml:space="preserve">dado que </w:t>
      </w:r>
      <w:r w:rsidR="004B21B9" w:rsidRPr="00DD43B6">
        <w:rPr>
          <w:rFonts w:ascii="Times New Roman" w:hAnsi="Times New Roman" w:cs="Times New Roman"/>
          <w:color w:val="222222"/>
          <w:sz w:val="24"/>
          <w:szCs w:val="24"/>
          <w:lang w:val="pt-PT"/>
        </w:rPr>
        <w:t xml:space="preserve">a estabilidade de preços </w:t>
      </w:r>
      <w:r w:rsidR="005603DC" w:rsidRPr="00DD43B6">
        <w:rPr>
          <w:rFonts w:ascii="Times New Roman" w:hAnsi="Times New Roman" w:cs="Times New Roman"/>
          <w:color w:val="222222"/>
          <w:sz w:val="24"/>
          <w:szCs w:val="24"/>
          <w:lang w:val="pt-PT"/>
        </w:rPr>
        <w:t xml:space="preserve">tanto </w:t>
      </w:r>
      <w:r w:rsidR="004B21B9" w:rsidRPr="00DD43B6">
        <w:rPr>
          <w:rFonts w:ascii="Times New Roman" w:hAnsi="Times New Roman" w:cs="Times New Roman"/>
          <w:color w:val="222222"/>
          <w:sz w:val="24"/>
          <w:szCs w:val="24"/>
          <w:lang w:val="pt-PT"/>
        </w:rPr>
        <w:t>no mercado de bens</w:t>
      </w:r>
      <w:r w:rsidR="00253E5F" w:rsidRPr="00DD43B6">
        <w:rPr>
          <w:rFonts w:ascii="Times New Roman" w:hAnsi="Times New Roman" w:cs="Times New Roman"/>
          <w:color w:val="222222"/>
          <w:sz w:val="24"/>
          <w:szCs w:val="24"/>
          <w:lang w:val="pt-PT"/>
        </w:rPr>
        <w:t xml:space="preserve"> e serviços</w:t>
      </w:r>
      <w:r w:rsidR="004B21B9" w:rsidRPr="00DD43B6">
        <w:rPr>
          <w:rFonts w:ascii="Times New Roman" w:hAnsi="Times New Roman" w:cs="Times New Roman"/>
          <w:color w:val="222222"/>
          <w:sz w:val="24"/>
          <w:szCs w:val="24"/>
          <w:lang w:val="pt-PT"/>
        </w:rPr>
        <w:t xml:space="preserve"> </w:t>
      </w:r>
      <w:r w:rsidR="005603DC" w:rsidRPr="00DD43B6">
        <w:rPr>
          <w:rFonts w:ascii="Times New Roman" w:hAnsi="Times New Roman" w:cs="Times New Roman"/>
          <w:color w:val="222222"/>
          <w:sz w:val="24"/>
          <w:szCs w:val="24"/>
          <w:lang w:val="pt-PT"/>
        </w:rPr>
        <w:t xml:space="preserve">quanto </w:t>
      </w:r>
      <w:r w:rsidR="004B21B9" w:rsidRPr="00DD43B6">
        <w:rPr>
          <w:rFonts w:ascii="Times New Roman" w:hAnsi="Times New Roman" w:cs="Times New Roman"/>
          <w:color w:val="222222"/>
          <w:sz w:val="24"/>
          <w:szCs w:val="24"/>
          <w:lang w:val="pt-PT"/>
        </w:rPr>
        <w:t>no mercado de ativos (</w:t>
      </w:r>
      <w:r w:rsidR="00253E5F" w:rsidRPr="00DD43B6">
        <w:rPr>
          <w:rFonts w:ascii="Times New Roman" w:hAnsi="Times New Roman" w:cs="Times New Roman"/>
          <w:color w:val="222222"/>
          <w:sz w:val="24"/>
          <w:szCs w:val="24"/>
          <w:lang w:val="pt-PT"/>
        </w:rPr>
        <w:t>incluindo o mercado imobiliário</w:t>
      </w:r>
      <w:r w:rsidR="004B21B9" w:rsidRPr="00DD43B6">
        <w:rPr>
          <w:rFonts w:ascii="Times New Roman" w:hAnsi="Times New Roman" w:cs="Times New Roman"/>
          <w:color w:val="222222"/>
          <w:sz w:val="24"/>
          <w:szCs w:val="24"/>
          <w:lang w:val="pt-PT"/>
        </w:rPr>
        <w:t>) podem exigir respostas diferentes</w:t>
      </w:r>
      <w:r w:rsidR="00253E5F" w:rsidRPr="00DD43B6">
        <w:rPr>
          <w:rFonts w:ascii="Times New Roman" w:hAnsi="Times New Roman" w:cs="Times New Roman"/>
          <w:color w:val="222222"/>
          <w:sz w:val="24"/>
          <w:szCs w:val="24"/>
          <w:lang w:val="pt-PT"/>
        </w:rPr>
        <w:t xml:space="preserve"> em ter</w:t>
      </w:r>
      <w:r w:rsidR="00A70A32">
        <w:rPr>
          <w:rFonts w:ascii="Times New Roman" w:hAnsi="Times New Roman" w:cs="Times New Roman"/>
          <w:color w:val="222222"/>
          <w:sz w:val="24"/>
          <w:szCs w:val="24"/>
          <w:lang w:val="pt-PT"/>
        </w:rPr>
        <w:t>mos de medidas de polí</w:t>
      </w:r>
      <w:r w:rsidR="005603DC" w:rsidRPr="00DD43B6">
        <w:rPr>
          <w:rFonts w:ascii="Times New Roman" w:hAnsi="Times New Roman" w:cs="Times New Roman"/>
          <w:color w:val="222222"/>
          <w:sz w:val="24"/>
          <w:szCs w:val="24"/>
          <w:lang w:val="pt-PT"/>
        </w:rPr>
        <w:t>tica econô</w:t>
      </w:r>
      <w:r w:rsidR="00253E5F" w:rsidRPr="00DD43B6">
        <w:rPr>
          <w:rFonts w:ascii="Times New Roman" w:hAnsi="Times New Roman" w:cs="Times New Roman"/>
          <w:color w:val="222222"/>
          <w:sz w:val="24"/>
          <w:szCs w:val="24"/>
          <w:lang w:val="pt-PT"/>
        </w:rPr>
        <w:t>mica</w:t>
      </w:r>
      <w:r w:rsidR="00B3104E">
        <w:rPr>
          <w:rFonts w:ascii="Times New Roman" w:hAnsi="Times New Roman" w:cs="Times New Roman"/>
          <w:color w:val="222222"/>
          <w:sz w:val="24"/>
          <w:szCs w:val="24"/>
          <w:lang w:val="pt-PT"/>
        </w:rPr>
        <w:t xml:space="preserve"> e/ou monetária</w:t>
      </w:r>
      <w:r w:rsidR="004B21B9" w:rsidRPr="00DD43B6">
        <w:rPr>
          <w:rFonts w:ascii="Times New Roman" w:hAnsi="Times New Roman" w:cs="Times New Roman"/>
          <w:color w:val="222222"/>
          <w:sz w:val="24"/>
          <w:szCs w:val="24"/>
          <w:lang w:val="pt-PT"/>
        </w:rPr>
        <w:t xml:space="preserve">. </w:t>
      </w:r>
      <w:r w:rsidR="00FF4BE9" w:rsidRPr="00DD43B6">
        <w:rPr>
          <w:rFonts w:ascii="Times New Roman" w:hAnsi="Times New Roman" w:cs="Times New Roman"/>
          <w:color w:val="222222"/>
          <w:sz w:val="24"/>
          <w:szCs w:val="24"/>
          <w:lang w:val="pt-PT"/>
        </w:rPr>
        <w:t>Já houve casos</w:t>
      </w:r>
      <w:r w:rsidR="00253E5F" w:rsidRPr="00DD43B6">
        <w:rPr>
          <w:rFonts w:ascii="Times New Roman" w:hAnsi="Times New Roman" w:cs="Times New Roman"/>
          <w:color w:val="222222"/>
          <w:sz w:val="24"/>
          <w:szCs w:val="24"/>
          <w:lang w:val="pt-PT"/>
        </w:rPr>
        <w:t>, p</w:t>
      </w:r>
      <w:r w:rsidR="004B21B9" w:rsidRPr="00DD43B6">
        <w:rPr>
          <w:rFonts w:ascii="Times New Roman" w:hAnsi="Times New Roman" w:cs="Times New Roman"/>
          <w:color w:val="222222"/>
          <w:sz w:val="24"/>
          <w:szCs w:val="24"/>
          <w:lang w:val="pt-PT"/>
        </w:rPr>
        <w:t xml:space="preserve">or exemplo, </w:t>
      </w:r>
      <w:r w:rsidR="00FF4BE9" w:rsidRPr="00DD43B6">
        <w:rPr>
          <w:rFonts w:ascii="Times New Roman" w:hAnsi="Times New Roman" w:cs="Times New Roman"/>
          <w:color w:val="222222"/>
          <w:sz w:val="24"/>
          <w:szCs w:val="24"/>
          <w:lang w:val="pt-PT"/>
        </w:rPr>
        <w:t xml:space="preserve">em que </w:t>
      </w:r>
      <w:r w:rsidR="004B21B9" w:rsidRPr="00DD43B6">
        <w:rPr>
          <w:rFonts w:ascii="Times New Roman" w:hAnsi="Times New Roman" w:cs="Times New Roman"/>
          <w:color w:val="222222"/>
          <w:sz w:val="24"/>
          <w:szCs w:val="24"/>
          <w:lang w:val="pt-PT"/>
        </w:rPr>
        <w:t>muitos países industrializados testemunha</w:t>
      </w:r>
      <w:r w:rsidR="00FD36C4" w:rsidRPr="00DD43B6">
        <w:rPr>
          <w:rFonts w:ascii="Times New Roman" w:hAnsi="Times New Roman" w:cs="Times New Roman"/>
          <w:color w:val="222222"/>
          <w:sz w:val="24"/>
          <w:szCs w:val="24"/>
          <w:lang w:val="pt-PT"/>
        </w:rPr>
        <w:t xml:space="preserve">ram movimentos de forte atividade </w:t>
      </w:r>
      <w:r w:rsidR="004B21B9" w:rsidRPr="00DD43B6">
        <w:rPr>
          <w:rFonts w:ascii="Times New Roman" w:hAnsi="Times New Roman" w:cs="Times New Roman"/>
          <w:color w:val="222222"/>
          <w:sz w:val="24"/>
          <w:szCs w:val="24"/>
          <w:lang w:val="pt-PT"/>
        </w:rPr>
        <w:t>nos mercado d</w:t>
      </w:r>
      <w:r w:rsidR="00FD36C4" w:rsidRPr="00DD43B6">
        <w:rPr>
          <w:rFonts w:ascii="Times New Roman" w:hAnsi="Times New Roman" w:cs="Times New Roman"/>
          <w:color w:val="222222"/>
          <w:sz w:val="24"/>
          <w:szCs w:val="24"/>
          <w:lang w:val="pt-PT"/>
        </w:rPr>
        <w:t>e imóveis residenciais</w:t>
      </w:r>
      <w:r w:rsidR="004B21B9" w:rsidRPr="00DD43B6">
        <w:rPr>
          <w:rFonts w:ascii="Times New Roman" w:hAnsi="Times New Roman" w:cs="Times New Roman"/>
          <w:color w:val="222222"/>
          <w:sz w:val="24"/>
          <w:szCs w:val="24"/>
          <w:lang w:val="pt-PT"/>
        </w:rPr>
        <w:t xml:space="preserve"> ao mesmo tempo</w:t>
      </w:r>
      <w:r w:rsidR="005603DC" w:rsidRPr="00DD43B6">
        <w:rPr>
          <w:rFonts w:ascii="Times New Roman" w:hAnsi="Times New Roman" w:cs="Times New Roman"/>
          <w:color w:val="222222"/>
          <w:sz w:val="24"/>
          <w:szCs w:val="24"/>
          <w:lang w:val="pt-PT"/>
        </w:rPr>
        <w:t xml:space="preserve"> em que a atividade econômica estava</w:t>
      </w:r>
      <w:r w:rsidR="004B21B9" w:rsidRPr="00DD43B6">
        <w:rPr>
          <w:rFonts w:ascii="Times New Roman" w:hAnsi="Times New Roman" w:cs="Times New Roman"/>
          <w:color w:val="222222"/>
          <w:sz w:val="24"/>
          <w:szCs w:val="24"/>
          <w:lang w:val="pt-PT"/>
        </w:rPr>
        <w:t xml:space="preserve"> frac</w:t>
      </w:r>
      <w:r w:rsidR="005603DC" w:rsidRPr="00DD43B6">
        <w:rPr>
          <w:rFonts w:ascii="Times New Roman" w:hAnsi="Times New Roman" w:cs="Times New Roman"/>
          <w:color w:val="222222"/>
          <w:sz w:val="24"/>
          <w:szCs w:val="24"/>
          <w:lang w:val="pt-PT"/>
        </w:rPr>
        <w:t>a</w:t>
      </w:r>
      <w:r w:rsidR="004B21B9" w:rsidRPr="00DD43B6">
        <w:rPr>
          <w:rFonts w:ascii="Times New Roman" w:hAnsi="Times New Roman" w:cs="Times New Roman"/>
          <w:color w:val="222222"/>
          <w:sz w:val="24"/>
          <w:szCs w:val="24"/>
          <w:lang w:val="pt-PT"/>
        </w:rPr>
        <w:t xml:space="preserve"> e as taxas de inflação </w:t>
      </w:r>
      <w:r w:rsidR="001D15F8" w:rsidRPr="00DD43B6">
        <w:rPr>
          <w:rFonts w:ascii="Times New Roman" w:hAnsi="Times New Roman" w:cs="Times New Roman"/>
          <w:color w:val="222222"/>
          <w:sz w:val="24"/>
          <w:szCs w:val="24"/>
          <w:lang w:val="pt-PT"/>
        </w:rPr>
        <w:t>estavam mui</w:t>
      </w:r>
      <w:r w:rsidR="004B21B9" w:rsidRPr="00DD43B6">
        <w:rPr>
          <w:rFonts w:ascii="Times New Roman" w:hAnsi="Times New Roman" w:cs="Times New Roman"/>
          <w:color w:val="222222"/>
          <w:sz w:val="24"/>
          <w:szCs w:val="24"/>
          <w:lang w:val="pt-PT"/>
        </w:rPr>
        <w:t>to baix</w:t>
      </w:r>
      <w:r w:rsidR="001D15F8" w:rsidRPr="00DD43B6">
        <w:rPr>
          <w:rFonts w:ascii="Times New Roman" w:hAnsi="Times New Roman" w:cs="Times New Roman"/>
          <w:color w:val="222222"/>
          <w:sz w:val="24"/>
          <w:szCs w:val="24"/>
          <w:lang w:val="pt-PT"/>
        </w:rPr>
        <w:t>a</w:t>
      </w:r>
      <w:r w:rsidR="004B21B9" w:rsidRPr="00DD43B6">
        <w:rPr>
          <w:rFonts w:ascii="Times New Roman" w:hAnsi="Times New Roman" w:cs="Times New Roman"/>
          <w:color w:val="222222"/>
          <w:sz w:val="24"/>
          <w:szCs w:val="24"/>
          <w:lang w:val="pt-PT"/>
        </w:rPr>
        <w:t xml:space="preserve">s. O aperto consistente </w:t>
      </w:r>
      <w:r w:rsidR="00C77AA6" w:rsidRPr="00DD43B6">
        <w:rPr>
          <w:rFonts w:ascii="Times New Roman" w:hAnsi="Times New Roman" w:cs="Times New Roman"/>
          <w:color w:val="222222"/>
          <w:sz w:val="24"/>
          <w:szCs w:val="24"/>
          <w:lang w:val="pt-PT"/>
        </w:rPr>
        <w:t>para atenuar a demanda no</w:t>
      </w:r>
      <w:r w:rsidR="004B21B9" w:rsidRPr="00DD43B6">
        <w:rPr>
          <w:rFonts w:ascii="Times New Roman" w:hAnsi="Times New Roman" w:cs="Times New Roman"/>
          <w:color w:val="222222"/>
          <w:sz w:val="24"/>
          <w:szCs w:val="24"/>
          <w:lang w:val="pt-PT"/>
        </w:rPr>
        <w:t xml:space="preserve"> mercado imobiliário pode</w:t>
      </w:r>
      <w:r w:rsidR="00B3104E">
        <w:rPr>
          <w:rFonts w:ascii="Times New Roman" w:hAnsi="Times New Roman" w:cs="Times New Roman"/>
          <w:color w:val="222222"/>
          <w:sz w:val="24"/>
          <w:szCs w:val="24"/>
          <w:lang w:val="pt-PT"/>
        </w:rPr>
        <w:t>ria</w:t>
      </w:r>
      <w:r w:rsidR="004B21B9" w:rsidRPr="00DD43B6">
        <w:rPr>
          <w:rFonts w:ascii="Times New Roman" w:hAnsi="Times New Roman" w:cs="Times New Roman"/>
          <w:color w:val="222222"/>
          <w:sz w:val="24"/>
          <w:szCs w:val="24"/>
          <w:lang w:val="pt-PT"/>
        </w:rPr>
        <w:t xml:space="preserve"> </w:t>
      </w:r>
      <w:r w:rsidR="004B21B9" w:rsidRPr="00DD43B6">
        <w:rPr>
          <w:rFonts w:ascii="Times New Roman" w:hAnsi="Times New Roman" w:cs="Times New Roman"/>
          <w:color w:val="222222"/>
          <w:sz w:val="24"/>
          <w:szCs w:val="24"/>
          <w:lang w:val="pt-PT"/>
        </w:rPr>
        <w:lastRenderedPageBreak/>
        <w:t>arriscar deflação excessiva no mercado de bens</w:t>
      </w:r>
      <w:r w:rsidR="00960042" w:rsidRPr="00DD43B6">
        <w:rPr>
          <w:rFonts w:ascii="Times New Roman" w:hAnsi="Times New Roman" w:cs="Times New Roman"/>
          <w:color w:val="222222"/>
          <w:sz w:val="24"/>
          <w:szCs w:val="24"/>
          <w:lang w:val="pt-PT"/>
        </w:rPr>
        <w:t>,</w:t>
      </w:r>
      <w:r w:rsidR="004B21B9" w:rsidRPr="00DD43B6">
        <w:rPr>
          <w:rFonts w:ascii="Times New Roman" w:hAnsi="Times New Roman" w:cs="Times New Roman"/>
          <w:color w:val="222222"/>
          <w:sz w:val="24"/>
          <w:szCs w:val="24"/>
          <w:lang w:val="pt-PT"/>
        </w:rPr>
        <w:t xml:space="preserve"> e </w:t>
      </w:r>
      <w:r w:rsidR="00960042" w:rsidRPr="00DD43B6">
        <w:rPr>
          <w:rFonts w:ascii="Times New Roman" w:hAnsi="Times New Roman" w:cs="Times New Roman"/>
          <w:color w:val="222222"/>
          <w:sz w:val="24"/>
          <w:szCs w:val="24"/>
          <w:lang w:val="pt-PT"/>
        </w:rPr>
        <w:t>resultar nu</w:t>
      </w:r>
      <w:r w:rsidR="004B21B9" w:rsidRPr="00DD43B6">
        <w:rPr>
          <w:rFonts w:ascii="Times New Roman" w:hAnsi="Times New Roman" w:cs="Times New Roman"/>
          <w:color w:val="222222"/>
          <w:sz w:val="24"/>
          <w:szCs w:val="24"/>
          <w:lang w:val="pt-PT"/>
        </w:rPr>
        <w:t>m impacto negativo subsequente em uma economia já enfraquecid</w:t>
      </w:r>
      <w:r w:rsidR="00F860E4" w:rsidRPr="00DD43B6">
        <w:rPr>
          <w:rFonts w:ascii="Times New Roman" w:hAnsi="Times New Roman" w:cs="Times New Roman"/>
          <w:color w:val="222222"/>
          <w:sz w:val="24"/>
          <w:szCs w:val="24"/>
          <w:lang w:val="pt-PT"/>
        </w:rPr>
        <w:t>a.</w:t>
      </w:r>
    </w:p>
    <w:p w14:paraId="3E82FC3B" w14:textId="49A05E19" w:rsidR="00892B5F" w:rsidRPr="00DD43B6" w:rsidRDefault="00892B5F" w:rsidP="00CD0FEF">
      <w:pPr>
        <w:pStyle w:val="Pr-formataoHTML"/>
        <w:tabs>
          <w:tab w:val="clear" w:pos="916"/>
          <w:tab w:val="left" w:pos="709"/>
        </w:tabs>
        <w:rPr>
          <w:rFonts w:ascii="Times New Roman" w:hAnsi="Times New Roman" w:cs="Times New Roman"/>
          <w:color w:val="222222"/>
          <w:sz w:val="24"/>
          <w:szCs w:val="24"/>
          <w:lang w:val="pt-PT"/>
        </w:rPr>
      </w:pPr>
      <w:r>
        <w:rPr>
          <w:rFonts w:ascii="Times New Roman" w:hAnsi="Times New Roman" w:cs="Times New Roman"/>
          <w:color w:val="222222"/>
          <w:sz w:val="24"/>
          <w:szCs w:val="24"/>
          <w:lang w:val="pt-PT"/>
        </w:rPr>
        <w:tab/>
        <w:t xml:space="preserve">Não se </w:t>
      </w:r>
      <w:proofErr w:type="gramStart"/>
      <w:r>
        <w:rPr>
          <w:rFonts w:ascii="Times New Roman" w:hAnsi="Times New Roman" w:cs="Times New Roman"/>
          <w:color w:val="222222"/>
          <w:sz w:val="24"/>
          <w:szCs w:val="24"/>
          <w:lang w:val="pt-PT"/>
        </w:rPr>
        <w:t>pode descartar</w:t>
      </w:r>
      <w:proofErr w:type="gramEnd"/>
      <w:r>
        <w:rPr>
          <w:rFonts w:ascii="Times New Roman" w:hAnsi="Times New Roman" w:cs="Times New Roman"/>
          <w:color w:val="222222"/>
          <w:sz w:val="24"/>
          <w:szCs w:val="24"/>
          <w:lang w:val="pt-PT"/>
        </w:rPr>
        <w:t>, tampouco, fatores políticos, que desencorajem governantes de tomar providências que des</w:t>
      </w:r>
      <w:r w:rsidR="009B38F2">
        <w:rPr>
          <w:rFonts w:ascii="Times New Roman" w:hAnsi="Times New Roman" w:cs="Times New Roman"/>
          <w:color w:val="222222"/>
          <w:sz w:val="24"/>
          <w:szCs w:val="24"/>
          <w:lang w:val="pt-PT"/>
        </w:rPr>
        <w:t>a</w:t>
      </w:r>
      <w:r>
        <w:rPr>
          <w:rFonts w:ascii="Times New Roman" w:hAnsi="Times New Roman" w:cs="Times New Roman"/>
          <w:color w:val="222222"/>
          <w:sz w:val="24"/>
          <w:szCs w:val="24"/>
          <w:lang w:val="pt-PT"/>
        </w:rPr>
        <w:t>gradem os eleitores antes de uma eleição.</w:t>
      </w:r>
    </w:p>
    <w:p w14:paraId="6898CEDC" w14:textId="0DD969AE" w:rsidR="004B21B9" w:rsidRPr="004B21B9" w:rsidRDefault="004B21B9" w:rsidP="00CD0FEF">
      <w:pPr>
        <w:autoSpaceDE w:val="0"/>
        <w:autoSpaceDN w:val="0"/>
        <w:adjustRightInd w:val="0"/>
        <w:ind w:firstLine="708"/>
        <w:rPr>
          <w:szCs w:val="24"/>
        </w:rPr>
      </w:pPr>
      <w:r>
        <w:rPr>
          <w:color w:val="222222"/>
          <w:lang w:val="pt-PT"/>
        </w:rPr>
        <w:t xml:space="preserve">Em suma, </w:t>
      </w:r>
      <w:r w:rsidR="00960042">
        <w:rPr>
          <w:color w:val="222222"/>
          <w:lang w:val="pt-PT"/>
        </w:rPr>
        <w:t xml:space="preserve">é discutível </w:t>
      </w:r>
      <w:r>
        <w:rPr>
          <w:color w:val="222222"/>
          <w:lang w:val="pt-PT"/>
        </w:rPr>
        <w:t>se as autoridades monetárias são capazes de usar a política monetária para conter os desequilíbrios do mercado de ativos</w:t>
      </w:r>
      <w:r w:rsidR="00960042">
        <w:rPr>
          <w:color w:val="222222"/>
          <w:lang w:val="pt-PT"/>
        </w:rPr>
        <w:t>.</w:t>
      </w:r>
      <w:r>
        <w:rPr>
          <w:color w:val="222222"/>
          <w:lang w:val="pt-PT"/>
        </w:rPr>
        <w:t xml:space="preserve"> Os doi</w:t>
      </w:r>
      <w:r w:rsidR="00B274AA">
        <w:rPr>
          <w:color w:val="222222"/>
          <w:lang w:val="pt-PT"/>
        </w:rPr>
        <w:t>s problemas acima</w:t>
      </w:r>
      <w:r w:rsidR="00EC03B2">
        <w:rPr>
          <w:color w:val="222222"/>
          <w:lang w:val="pt-PT"/>
        </w:rPr>
        <w:t xml:space="preserve">, ou seja, "quando </w:t>
      </w:r>
      <w:proofErr w:type="gramStart"/>
      <w:r w:rsidR="00EC03B2">
        <w:rPr>
          <w:color w:val="222222"/>
          <w:lang w:val="pt-PT"/>
        </w:rPr>
        <w:t>faze</w:t>
      </w:r>
      <w:r w:rsidR="00E96870">
        <w:rPr>
          <w:color w:val="222222"/>
          <w:lang w:val="pt-PT"/>
        </w:rPr>
        <w:t>r</w:t>
      </w:r>
      <w:proofErr w:type="gramEnd"/>
      <w:r w:rsidR="00E96870">
        <w:rPr>
          <w:color w:val="222222"/>
          <w:lang w:val="pt-PT"/>
        </w:rPr>
        <w:t>" e "</w:t>
      </w:r>
      <w:r w:rsidR="00960042">
        <w:rPr>
          <w:color w:val="222222"/>
          <w:lang w:val="pt-PT"/>
        </w:rPr>
        <w:t>como fazer"</w:t>
      </w:r>
      <w:r>
        <w:rPr>
          <w:color w:val="222222"/>
          <w:lang w:val="pt-PT"/>
        </w:rPr>
        <w:t xml:space="preserve">, precisam ser resolvidos </w:t>
      </w:r>
      <w:r w:rsidR="00F84DD7">
        <w:rPr>
          <w:color w:val="222222"/>
          <w:lang w:val="pt-PT"/>
        </w:rPr>
        <w:t>para</w:t>
      </w:r>
      <w:r>
        <w:rPr>
          <w:color w:val="222222"/>
          <w:lang w:val="pt-PT"/>
        </w:rPr>
        <w:t xml:space="preserve"> que as autoridades monetárias po</w:t>
      </w:r>
      <w:r w:rsidR="00960042">
        <w:rPr>
          <w:color w:val="222222"/>
          <w:lang w:val="pt-PT"/>
        </w:rPr>
        <w:t>ssam r</w:t>
      </w:r>
      <w:r>
        <w:rPr>
          <w:color w:val="222222"/>
          <w:lang w:val="pt-PT"/>
        </w:rPr>
        <w:t>efinar o seu quadro de políticas para lidar com os desequilíbrios do mercado de</w:t>
      </w:r>
      <w:r w:rsidR="00B429F6">
        <w:rPr>
          <w:color w:val="222222"/>
          <w:lang w:val="pt-PT"/>
        </w:rPr>
        <w:t xml:space="preserve"> ativos </w:t>
      </w:r>
      <w:r w:rsidR="00E96870">
        <w:rPr>
          <w:color w:val="222222"/>
          <w:lang w:val="pt-PT"/>
        </w:rPr>
        <w:t>ao mesmo tempo em que</w:t>
      </w:r>
      <w:r w:rsidR="00F84DD7">
        <w:rPr>
          <w:color w:val="222222"/>
          <w:lang w:val="pt-PT"/>
        </w:rPr>
        <w:t xml:space="preserve"> </w:t>
      </w:r>
      <w:r w:rsidR="00D14ED3">
        <w:rPr>
          <w:color w:val="222222"/>
          <w:lang w:val="pt-PT"/>
        </w:rPr>
        <w:t>tem que conviver com</w:t>
      </w:r>
      <w:r w:rsidR="00A43F8E">
        <w:rPr>
          <w:color w:val="222222"/>
          <w:lang w:val="pt-PT"/>
        </w:rPr>
        <w:t xml:space="preserve"> </w:t>
      </w:r>
      <w:r w:rsidR="00B429F6">
        <w:rPr>
          <w:color w:val="222222"/>
          <w:lang w:val="pt-PT"/>
        </w:rPr>
        <w:t>dilemas</w:t>
      </w:r>
      <w:r w:rsidR="009B38F2">
        <w:rPr>
          <w:color w:val="222222"/>
          <w:lang w:val="pt-PT"/>
        </w:rPr>
        <w:t xml:space="preserve"> e</w:t>
      </w:r>
      <w:r w:rsidR="001D4CFB">
        <w:rPr>
          <w:color w:val="222222"/>
          <w:lang w:val="pt-PT"/>
        </w:rPr>
        <w:t xml:space="preserve"> com políticos.</w:t>
      </w:r>
    </w:p>
    <w:p w14:paraId="56316544" w14:textId="77777777" w:rsidR="00595606" w:rsidRDefault="00595606" w:rsidP="00CD0FEF">
      <w:pPr>
        <w:rPr>
          <w:szCs w:val="24"/>
        </w:rPr>
      </w:pPr>
    </w:p>
    <w:p w14:paraId="4006CE20" w14:textId="15A356F2" w:rsidR="00595606" w:rsidRPr="00537A8E" w:rsidRDefault="00537A8E" w:rsidP="002A225D">
      <w:pPr>
        <w:pStyle w:val="PargrafodaLista"/>
        <w:numPr>
          <w:ilvl w:val="0"/>
          <w:numId w:val="4"/>
        </w:numPr>
        <w:outlineLvl w:val="0"/>
        <w:rPr>
          <w:b/>
          <w:szCs w:val="24"/>
          <w:u w:val="single"/>
        </w:rPr>
      </w:pPr>
      <w:bookmarkStart w:id="8" w:name="_Toc424741953"/>
      <w:r w:rsidRPr="00537A8E">
        <w:rPr>
          <w:b/>
          <w:szCs w:val="24"/>
          <w:u w:val="single"/>
        </w:rPr>
        <w:t>OS ÍNDICES DE PREÇOS DE IMÓVEIS DO BRASIL</w:t>
      </w:r>
      <w:bookmarkEnd w:id="8"/>
    </w:p>
    <w:p w14:paraId="04C55069" w14:textId="77777777" w:rsidR="0095663A" w:rsidRDefault="0095663A" w:rsidP="00CD0FEF"/>
    <w:p w14:paraId="601E7518" w14:textId="3852F621" w:rsidR="00FC0059" w:rsidRPr="00436027" w:rsidRDefault="00C470AC" w:rsidP="00397EB7">
      <w:pPr>
        <w:pStyle w:val="Ttulo2"/>
        <w:rPr>
          <w:rFonts w:ascii="Times New Roman" w:hAnsi="Times New Roman" w:cs="Times New Roman"/>
          <w:color w:val="auto"/>
          <w:sz w:val="24"/>
          <w:szCs w:val="24"/>
        </w:rPr>
      </w:pPr>
      <w:bookmarkStart w:id="9" w:name="_Toc424741954"/>
      <w:r w:rsidRPr="00436027">
        <w:rPr>
          <w:rFonts w:ascii="Times New Roman" w:hAnsi="Times New Roman" w:cs="Times New Roman"/>
          <w:color w:val="auto"/>
          <w:sz w:val="24"/>
          <w:szCs w:val="24"/>
        </w:rPr>
        <w:t xml:space="preserve">4.1 </w:t>
      </w:r>
      <w:r w:rsidR="00FC0059" w:rsidRPr="00436027">
        <w:rPr>
          <w:rFonts w:ascii="Times New Roman" w:hAnsi="Times New Roman" w:cs="Times New Roman"/>
          <w:color w:val="auto"/>
          <w:sz w:val="24"/>
          <w:szCs w:val="24"/>
        </w:rPr>
        <w:t>IVG-R do Banco Central</w:t>
      </w:r>
      <w:bookmarkEnd w:id="9"/>
    </w:p>
    <w:p w14:paraId="22522F9A" w14:textId="17802AD9" w:rsidR="00FC0059" w:rsidRDefault="00FC0059" w:rsidP="00CD0FEF">
      <w:pPr>
        <w:ind w:firstLine="708"/>
      </w:pPr>
      <w:r>
        <w:t xml:space="preserve">O índice de preços de </w:t>
      </w:r>
      <w:r w:rsidR="00341027">
        <w:t>i</w:t>
      </w:r>
      <w:r>
        <w:t xml:space="preserve">móveis residenciais do Banco Central do </w:t>
      </w:r>
      <w:r w:rsidR="00E96870">
        <w:t>Brasil (</w:t>
      </w:r>
      <w:r>
        <w:t>BCB) – IVG-R, cujo nome completo é Índice de Valores de Garantia de Imóveis Residenciais Financiados, já tem boa parte de suas definições explicitadas no nome. Cada financiamento imobiliário tem um imóvel dado em garantia,</w:t>
      </w:r>
      <w:r w:rsidR="00902BD9">
        <w:t xml:space="preserve"> seja em hipoteca, seja em alienação fiduciária, </w:t>
      </w:r>
      <w:r>
        <w:t xml:space="preserve">e é </w:t>
      </w:r>
      <w:r w:rsidR="003A0B0D">
        <w:t>o</w:t>
      </w:r>
      <w:r>
        <w:t xml:space="preserve"> </w:t>
      </w:r>
      <w:r w:rsidR="003A0B0D">
        <w:t>valor de avaliação que é levado em conta par</w:t>
      </w:r>
      <w:r>
        <w:t>a</w:t>
      </w:r>
      <w:r w:rsidR="003A0B0D">
        <w:t xml:space="preserve"> </w:t>
      </w:r>
      <w:r>
        <w:t>o índice, e não o valor do contrato de financiamento.</w:t>
      </w:r>
    </w:p>
    <w:p w14:paraId="7BDC797B" w14:textId="77D3C696" w:rsidR="00FC0059" w:rsidRDefault="00FC0059" w:rsidP="00CD0FEF">
      <w:r>
        <w:tab/>
      </w:r>
      <w:r w:rsidR="00902BD9">
        <w:t xml:space="preserve">O índice cobre as mesmas 11 Regiões metropolitanas do IPCA. </w:t>
      </w:r>
      <w:r>
        <w:t xml:space="preserve">A origem das informações desse índice é um sistema que o BCB tem que coleta muitas informações de todas as operações de crédito realizadas pelo sistema bancário no Brasil, </w:t>
      </w:r>
      <w:r w:rsidR="00341027">
        <w:t xml:space="preserve">originados com </w:t>
      </w:r>
      <w:r>
        <w:t>valor acima de R$</w:t>
      </w:r>
      <w:r w:rsidR="00195AA3">
        <w:t xml:space="preserve">1.000,00. </w:t>
      </w:r>
      <w:r w:rsidR="00341027">
        <w:t>I</w:t>
      </w:r>
      <w:r>
        <w:t>nformações sobre esse sistema de informações das operações de crédito enviadas ao BCB podem ser encontradas no site do BCB</w:t>
      </w:r>
      <w:r>
        <w:rPr>
          <w:rStyle w:val="Refdenotaderodap"/>
        </w:rPr>
        <w:footnoteReference w:id="7"/>
      </w:r>
      <w:r>
        <w:t xml:space="preserve">. </w:t>
      </w:r>
    </w:p>
    <w:p w14:paraId="542D6F20" w14:textId="28B85923" w:rsidR="00FC0059" w:rsidRDefault="00FC0059" w:rsidP="00CD0FEF">
      <w:r>
        <w:tab/>
        <w:t>Segundo a definição do IVG-R no site do BCB: “</w:t>
      </w:r>
      <w:r w:rsidRPr="00A514A5">
        <w:rPr>
          <w:i/>
        </w:rPr>
        <w:t xml:space="preserve">O IVG-R mensura a tendência de longo prazo dos valores de imóveis residenciais no Brasil </w:t>
      </w:r>
      <w:r w:rsidR="00A657E2">
        <w:rPr>
          <w:i/>
        </w:rPr>
        <w:t>...</w:t>
      </w:r>
      <w:r w:rsidRPr="00A514A5">
        <w:rPr>
          <w:i/>
        </w:rPr>
        <w:t>.</w:t>
      </w:r>
      <w:r w:rsidRPr="00A514A5">
        <w:t>”</w:t>
      </w:r>
      <w:r>
        <w:t xml:space="preserve"> Em outras palavras, os preços das garantias dos financiamentos de imóveis residenciais para Pessoas Físicas recebe um tratamento destinado a dar destaque a tendências de longo prazo, em oposição a variações de curto prazo. </w:t>
      </w:r>
    </w:p>
    <w:p w14:paraId="6E0CF9CF" w14:textId="78632DD3" w:rsidR="00FC0059" w:rsidRDefault="00FC0059" w:rsidP="00CD0FEF">
      <w:pPr>
        <w:ind w:firstLine="708"/>
      </w:pPr>
      <w:r>
        <w:t>O IVG-R extrai suas informações das operações de financiamento habitacional (SFI e SFH) por pessoas físicas</w:t>
      </w:r>
      <w:r w:rsidR="00C54053">
        <w:t xml:space="preserve"> com h</w:t>
      </w:r>
      <w:r>
        <w:t>ipoteca ou alienação fiduciária</w:t>
      </w:r>
      <w:r w:rsidR="00C54053">
        <w:t>.</w:t>
      </w:r>
      <w:r>
        <w:t xml:space="preserve"> </w:t>
      </w:r>
    </w:p>
    <w:p w14:paraId="02D87C94" w14:textId="41C5D30E" w:rsidR="00FC0059" w:rsidRDefault="00FC0059" w:rsidP="00CD0FEF">
      <w:r>
        <w:tab/>
        <w:t xml:space="preserve">Ao solicitar o financiamento para adquirir uma residência, o pretendente autoriza o banco a fazer uma avaliação do imóvel. Essas avaliações são em sua grande maioria feitas pelo método comparativo, na qual o imóvel em avaliação é comparado com ofertas de imóveis </w:t>
      </w:r>
      <w:r w:rsidR="00F752AF">
        <w:t xml:space="preserve">similares </w:t>
      </w:r>
      <w:r>
        <w:t xml:space="preserve">na mesma região. A partir dessa avaliação, e da demanda do pretendente ao financiamento, </w:t>
      </w:r>
      <w:r w:rsidR="00F752AF">
        <w:t>ele</w:t>
      </w:r>
      <w:r>
        <w:t xml:space="preserve"> pode exceder, por exemplo, a 80% do valor </w:t>
      </w:r>
      <w:r w:rsidR="00482569">
        <w:t>do imóvel (conforme a polí</w:t>
      </w:r>
      <w:r>
        <w:t>tica de cada banco e de cada momento)</w:t>
      </w:r>
      <w:r w:rsidR="00F977A9">
        <w:t>, ou do financiamento.</w:t>
      </w:r>
    </w:p>
    <w:p w14:paraId="462FEF57" w14:textId="105783CC" w:rsidR="00FC0059" w:rsidRDefault="00FC0059" w:rsidP="00CD0FEF">
      <w:r>
        <w:tab/>
      </w:r>
      <w:r w:rsidR="00F977A9">
        <w:t>O</w:t>
      </w:r>
      <w:r>
        <w:t xml:space="preserve"> IVG-R não</w:t>
      </w:r>
      <w:r w:rsidR="006E6E52">
        <w:t xml:space="preserve"> inclui </w:t>
      </w:r>
      <w:r w:rsidR="00F977A9">
        <w:t xml:space="preserve">compras </w:t>
      </w:r>
      <w:r>
        <w:t xml:space="preserve">à vista ou com outras formas de financiamento (construtor/incorporador, ou consórcio, </w:t>
      </w:r>
      <w:r w:rsidR="00F977A9">
        <w:t xml:space="preserve">p. </w:t>
      </w:r>
      <w:proofErr w:type="spellStart"/>
      <w:r w:rsidR="00F977A9">
        <w:t>ex</w:t>
      </w:r>
      <w:proofErr w:type="spellEnd"/>
      <w:r w:rsidR="00F977A9">
        <w:t>)</w:t>
      </w:r>
      <w:r>
        <w:t>. Como não existe a informação de quantos imóveis são transacionados no Brasil, não é possível saber qual o percentual das transações imobiliárias com financiamento bancário em relação ao total.</w:t>
      </w:r>
    </w:p>
    <w:p w14:paraId="5A76DF59" w14:textId="77777777" w:rsidR="001A77A6" w:rsidRDefault="009762D0" w:rsidP="00CD0FEF">
      <w:pPr>
        <w:ind w:firstLine="708"/>
      </w:pPr>
      <w:r>
        <w:t>O IVG-R pondera o peso da variação de cada RM, segundo a quantidade de domicílios de cada uma delas no censo</w:t>
      </w:r>
      <w:r w:rsidR="00DC7E68">
        <w:t xml:space="preserve"> IBGE-2010, como </w:t>
      </w:r>
      <w:r w:rsidR="00DC7E68" w:rsidRPr="00DC7E68">
        <w:rPr>
          <w:i/>
        </w:rPr>
        <w:t>proxy</w:t>
      </w:r>
      <w:r w:rsidR="00DC7E68">
        <w:t xml:space="preserve"> do estoque de imóveis residenciais.</w:t>
      </w:r>
      <w:r w:rsidR="006E6E52" w:rsidRPr="006E6E52">
        <w:t xml:space="preserve"> </w:t>
      </w:r>
      <w:r w:rsidR="006E6E52">
        <w:t>O índice é calculado pelas médias móveis das medianas trimestrais, o que suaviza as variações mais abruptas de um mês em relação ao anterior, e eliminar os valores muito discrepantes (</w:t>
      </w:r>
      <w:r w:rsidR="006E6E52" w:rsidRPr="00031E36">
        <w:rPr>
          <w:i/>
        </w:rPr>
        <w:t>outliers</w:t>
      </w:r>
      <w:r w:rsidR="006E6E52">
        <w:t xml:space="preserve">). </w:t>
      </w:r>
    </w:p>
    <w:p w14:paraId="44B17B15" w14:textId="1D633532" w:rsidR="00FC0059" w:rsidRDefault="00FC0059" w:rsidP="00CD0FEF">
      <w:pPr>
        <w:ind w:firstLine="708"/>
      </w:pPr>
      <w:r>
        <w:lastRenderedPageBreak/>
        <w:t xml:space="preserve">O IVG-R utiliza o filtro </w:t>
      </w:r>
      <w:proofErr w:type="spellStart"/>
      <w:r w:rsidRPr="00D05479">
        <w:t>Hodrick</w:t>
      </w:r>
      <w:proofErr w:type="spellEnd"/>
      <w:r>
        <w:t>-</w:t>
      </w:r>
      <w:r w:rsidRPr="00D05479">
        <w:t>Prescott</w:t>
      </w:r>
      <w:r>
        <w:t xml:space="preserve"> para elaboração do índice. A função desse índice é atribuir maior importância à tendência e reduzir a importância dos ciclos</w:t>
      </w:r>
      <w:r w:rsidR="002706A2">
        <w:t xml:space="preserve">, segundo </w:t>
      </w:r>
      <w:hyperlink r:id="rId12" w:history="1">
        <w:r w:rsidR="006E6E44" w:rsidRPr="006E6E44">
          <w:t>Cohen-</w:t>
        </w:r>
        <w:proofErr w:type="spellStart"/>
        <w:r w:rsidR="006E6E44" w:rsidRPr="006E6E44">
          <w:t>Setton</w:t>
        </w:r>
        <w:proofErr w:type="spellEnd"/>
      </w:hyperlink>
      <w:r w:rsidR="002606DB">
        <w:t xml:space="preserve">, </w:t>
      </w:r>
      <w:r w:rsidR="002606DB" w:rsidRPr="002606DB">
        <w:t xml:space="preserve">J. </w:t>
      </w:r>
      <w:r w:rsidR="006E6E44" w:rsidRPr="006E6E44">
        <w:t xml:space="preserve"> </w:t>
      </w:r>
      <w:proofErr w:type="spellStart"/>
      <w:r w:rsidR="006E6E44" w:rsidRPr="006E6E44">
        <w:t>and</w:t>
      </w:r>
      <w:proofErr w:type="spellEnd"/>
      <w:r w:rsidR="006E6E44" w:rsidRPr="006E6E44">
        <w:t xml:space="preserve"> </w:t>
      </w:r>
      <w:hyperlink r:id="rId13" w:history="1">
        <w:proofErr w:type="spellStart"/>
        <w:r w:rsidR="006E6E44" w:rsidRPr="006E6E44">
          <w:t>Yatsynovich</w:t>
        </w:r>
        <w:proofErr w:type="spellEnd"/>
      </w:hyperlink>
      <w:r w:rsidR="002606DB">
        <w:t xml:space="preserve">, </w:t>
      </w:r>
      <w:r w:rsidR="002606DB" w:rsidRPr="002606DB">
        <w:t>Y.</w:t>
      </w:r>
      <w:r w:rsidR="002606DB">
        <w:rPr>
          <w:rStyle w:val="Refdenotaderodap"/>
        </w:rPr>
        <w:footnoteReference w:id="8"/>
      </w:r>
      <w:r>
        <w:t xml:space="preserve"> </w:t>
      </w:r>
    </w:p>
    <w:p w14:paraId="67CB9F2E" w14:textId="77777777" w:rsidR="00FC0059" w:rsidRDefault="00FC0059" w:rsidP="00CD0FEF">
      <w:pPr>
        <w:ind w:firstLine="708"/>
      </w:pPr>
    </w:p>
    <w:p w14:paraId="09A69DA7" w14:textId="5B3E2934" w:rsidR="00FC0059" w:rsidRPr="00E4441B" w:rsidRDefault="00933F63" w:rsidP="001A603A">
      <w:pPr>
        <w:pStyle w:val="Ttulo3"/>
        <w:rPr>
          <w:color w:val="auto"/>
        </w:rPr>
      </w:pPr>
      <w:bookmarkStart w:id="10" w:name="_Toc424741955"/>
      <w:r w:rsidRPr="00E4441B">
        <w:rPr>
          <w:color w:val="auto"/>
        </w:rPr>
        <w:t xml:space="preserve">4.1.1 </w:t>
      </w:r>
      <w:r w:rsidR="00565724" w:rsidRPr="00E4441B">
        <w:rPr>
          <w:color w:val="auto"/>
        </w:rPr>
        <w:t>Qualidades e pontos críticos</w:t>
      </w:r>
      <w:bookmarkEnd w:id="10"/>
    </w:p>
    <w:p w14:paraId="54A40DBC" w14:textId="77777777" w:rsidR="00031E36" w:rsidRDefault="00FC0059" w:rsidP="00CD0FEF">
      <w:pPr>
        <w:ind w:firstLine="708"/>
      </w:pPr>
      <w:r>
        <w:t xml:space="preserve">Qualidades </w:t>
      </w:r>
    </w:p>
    <w:p w14:paraId="498D7A94" w14:textId="5C9B8CCC" w:rsidR="000F00A1" w:rsidRDefault="000F00A1" w:rsidP="00CD0FEF">
      <w:pPr>
        <w:ind w:firstLine="708"/>
      </w:pPr>
      <w:r>
        <w:t xml:space="preserve">A – </w:t>
      </w:r>
      <w:r w:rsidR="00932053">
        <w:t>Sua regularidade, que é mensal</w:t>
      </w:r>
      <w:r w:rsidR="00D476FD">
        <w:t xml:space="preserve"> </w:t>
      </w:r>
    </w:p>
    <w:p w14:paraId="53A46764" w14:textId="4A90BD98" w:rsidR="004109F7" w:rsidRDefault="000F00A1" w:rsidP="00CD0FEF">
      <w:pPr>
        <w:ind w:firstLine="708"/>
      </w:pPr>
      <w:r>
        <w:t xml:space="preserve">B – </w:t>
      </w:r>
      <w:r w:rsidR="00AD4D8C">
        <w:t>Outra qualidade é o universo bem definido de onde são extraídas as informações, ou seja, os arquivos das informações de todas as operações de crédito realizadas pelas instituições financeiras do Brasil.</w:t>
      </w:r>
      <w:r>
        <w:t xml:space="preserve"> </w:t>
      </w:r>
      <w:r w:rsidR="003A7144">
        <w:t xml:space="preserve">Cada operação de crédito imobiliário efetuada tem atrelada uma avaliação do imóvel, </w:t>
      </w:r>
      <w:r w:rsidR="004109F7">
        <w:t xml:space="preserve">e, dada a enorme quantidade de operações realizadas pelo sistema financeiro, as informações fornecidas são resultado do trabalho </w:t>
      </w:r>
      <w:r w:rsidR="005A6853">
        <w:t xml:space="preserve">de um </w:t>
      </w:r>
      <w:r w:rsidR="000D7780">
        <w:t>número</w:t>
      </w:r>
      <w:r w:rsidR="005A6853">
        <w:t xml:space="preserve"> imenso de profissionais do mercado imobiliário, o que certamente contribui para </w:t>
      </w:r>
      <w:r w:rsidR="00DA320A">
        <w:t>aumentar a qualidade dessas informações.</w:t>
      </w:r>
      <w:r w:rsidR="005A6853">
        <w:t xml:space="preserve"> </w:t>
      </w:r>
    </w:p>
    <w:p w14:paraId="5BFEB8EF" w14:textId="77777777" w:rsidR="00FC0059" w:rsidRDefault="00FC0059" w:rsidP="00CD0FEF">
      <w:pPr>
        <w:ind w:firstLine="708"/>
      </w:pPr>
    </w:p>
    <w:p w14:paraId="56099F23" w14:textId="79374269" w:rsidR="00FC0059" w:rsidRDefault="009B1577" w:rsidP="00CD0FEF">
      <w:pPr>
        <w:ind w:firstLine="708"/>
      </w:pPr>
      <w:r>
        <w:t>Pontos Críticos</w:t>
      </w:r>
      <w:r w:rsidR="00FC0059">
        <w:t>:</w:t>
      </w:r>
    </w:p>
    <w:p w14:paraId="3E66095D" w14:textId="77777777" w:rsidR="009857A4" w:rsidRDefault="00FC0059" w:rsidP="00CD0FEF">
      <w:pPr>
        <w:ind w:firstLine="708"/>
      </w:pPr>
      <w:r>
        <w:t xml:space="preserve">A </w:t>
      </w:r>
      <w:r w:rsidR="00932053">
        <w:t>–</w:t>
      </w:r>
      <w:r>
        <w:t xml:space="preserve"> </w:t>
      </w:r>
      <w:r w:rsidR="00932053">
        <w:t>Estratificação limitada</w:t>
      </w:r>
      <w:r w:rsidR="009857A4">
        <w:t>/imóvel como unidade de medida</w:t>
      </w:r>
      <w:r w:rsidR="001E7590">
        <w:t xml:space="preserve"> </w:t>
      </w:r>
      <w:r>
        <w:t>– Todos os imóveis são considerados como um conjunto só, sem haver estratificação de qualquer natureza e o resultado disso é um indicador que</w:t>
      </w:r>
      <w:r w:rsidR="00A602E7">
        <w:t>, na melhor das hipóteses,</w:t>
      </w:r>
      <w:r>
        <w:t xml:space="preserve"> aponta para uma tendência genérica, atenuada. </w:t>
      </w:r>
    </w:p>
    <w:p w14:paraId="5530CACB" w14:textId="16DDD80E" w:rsidR="00E53F44" w:rsidRDefault="00FC0059" w:rsidP="00CD0FEF">
      <w:pPr>
        <w:ind w:firstLine="708"/>
      </w:pPr>
      <w:r>
        <w:t xml:space="preserve">O índice é opaco em relação aos vários </w:t>
      </w:r>
      <w:r w:rsidR="00D370FB">
        <w:t>tipos de produto, nos referimos essencialmente a preços</w:t>
      </w:r>
      <w:r>
        <w:t xml:space="preserve">, e </w:t>
      </w:r>
      <w:r w:rsidR="004712B2">
        <w:t>isso pode resultar no</w:t>
      </w:r>
      <w:r>
        <w:t xml:space="preserve"> mascaramento de tendências</w:t>
      </w:r>
      <w:r w:rsidR="003624B4">
        <w:t>, que pode até</w:t>
      </w:r>
      <w:r>
        <w:t xml:space="preserve"> resultar em </w:t>
      </w:r>
      <w:r w:rsidR="003624B4">
        <w:t xml:space="preserve">interpretação </w:t>
      </w:r>
      <w:r w:rsidR="00A602E7">
        <w:t>errônea da derivada.</w:t>
      </w:r>
    </w:p>
    <w:p w14:paraId="01D6A5FA" w14:textId="11C33CC7" w:rsidR="00FC0059" w:rsidRDefault="00431416" w:rsidP="00CD0FEF">
      <w:pPr>
        <w:ind w:firstLine="708"/>
      </w:pPr>
      <w:r>
        <w:t>Ainda que nos registros do Banco Central não haja informações sobre á área</w:t>
      </w:r>
      <w:r w:rsidR="004712B2">
        <w:t xml:space="preserve"> construída ou útil </w:t>
      </w:r>
      <w:r>
        <w:t>dos imóveis, uma estratificação por valores,</w:t>
      </w:r>
      <w:r w:rsidR="00AF559C">
        <w:t xml:space="preserve"> com a correspondente ponderação,</w:t>
      </w:r>
      <w:r>
        <w:t xml:space="preserve"> poderia</w:t>
      </w:r>
      <w:r w:rsidR="00AF559C">
        <w:t xml:space="preserve"> melhorar a informação fornecida pelo índice e pela curva temporal resultante.</w:t>
      </w:r>
      <w:r>
        <w:t xml:space="preserve"> </w:t>
      </w:r>
    </w:p>
    <w:p w14:paraId="717614D6" w14:textId="446E6907" w:rsidR="00FC0059" w:rsidRDefault="00FC0059" w:rsidP="00CD0FEF">
      <w:pPr>
        <w:ind w:firstLine="708"/>
      </w:pPr>
      <w:r>
        <w:t>Analisando uma possib</w:t>
      </w:r>
      <w:r w:rsidR="001C3333">
        <w:t>i</w:t>
      </w:r>
      <w:r>
        <w:t>lidade concreta, as distorções possíveis no cálculo do IVG-R ao englobar em sua amostra</w:t>
      </w:r>
      <w:r w:rsidR="00E505CC">
        <w:t>,</w:t>
      </w:r>
      <w:r>
        <w:t xml:space="preserve"> </w:t>
      </w:r>
      <w:r w:rsidR="00E505CC">
        <w:t xml:space="preserve">indistintamente, </w:t>
      </w:r>
      <w:r>
        <w:t>todos os imóveis de todos os tamanhos</w:t>
      </w:r>
      <w:r w:rsidR="00E505CC">
        <w:t xml:space="preserve"> e pre</w:t>
      </w:r>
      <w:r>
        <w:t>ços,</w:t>
      </w:r>
      <w:r w:rsidR="00686D64">
        <w:t xml:space="preserve"> </w:t>
      </w:r>
      <w:r w:rsidR="00596ECC">
        <w:t xml:space="preserve">é possível haver uma </w:t>
      </w:r>
      <w:r w:rsidR="00DA7D8B">
        <w:t>mudan</w:t>
      </w:r>
      <w:r w:rsidR="00684F0D">
        <w:t xml:space="preserve">ça do mix em favor dos </w:t>
      </w:r>
      <w:r w:rsidR="00DA7D8B">
        <w:t>imó</w:t>
      </w:r>
      <w:r w:rsidR="00684F0D">
        <w:t>veis</w:t>
      </w:r>
      <w:r w:rsidR="00DA7D8B">
        <w:t xml:space="preserve"> menores.</w:t>
      </w:r>
      <w:r w:rsidR="00684F0D">
        <w:t xml:space="preserve"> </w:t>
      </w:r>
      <w:r>
        <w:t xml:space="preserve">O inverso também pode ser verdade, como no caso de um mercado saindo de um período recessivo, </w:t>
      </w:r>
      <w:r w:rsidR="00581203">
        <w:t xml:space="preserve">com </w:t>
      </w:r>
      <w:r>
        <w:t xml:space="preserve">aumento na quantidade de imóveis de menor valor, e isso pode resultar na queda do índice, quando na realidade </w:t>
      </w:r>
      <w:r w:rsidR="00686D64">
        <w:t>os imóveis dessa</w:t>
      </w:r>
      <w:r w:rsidR="00684F0D">
        <w:t>s</w:t>
      </w:r>
      <w:r w:rsidR="00686D64">
        <w:t xml:space="preserve"> faixas de valor podem </w:t>
      </w:r>
      <w:r>
        <w:t xml:space="preserve">estar </w:t>
      </w:r>
      <w:r w:rsidR="00686D64">
        <w:t>ficando mais caros</w:t>
      </w:r>
      <w:r w:rsidR="00294318">
        <w:t xml:space="preserve">. O </w:t>
      </w:r>
      <w:r>
        <w:t xml:space="preserve">índice </w:t>
      </w:r>
      <w:r w:rsidR="00294318">
        <w:t xml:space="preserve">pode </w:t>
      </w:r>
      <w:r>
        <w:t>aponta</w:t>
      </w:r>
      <w:r w:rsidR="00294318">
        <w:t>r</w:t>
      </w:r>
      <w:r>
        <w:t xml:space="preserve"> queda </w:t>
      </w:r>
      <w:r w:rsidR="00684F0D">
        <w:t>de preç</w:t>
      </w:r>
      <w:r w:rsidR="00581203">
        <w:t>os, quando na realidade houve</w:t>
      </w:r>
      <w:r>
        <w:t xml:space="preserve"> aumento </w:t>
      </w:r>
      <w:r w:rsidR="00AE3019">
        <w:t xml:space="preserve">despercebido </w:t>
      </w:r>
      <w:r>
        <w:t>de peso relativo</w:t>
      </w:r>
      <w:r w:rsidR="00294318">
        <w:t xml:space="preserve"> dos imóveis pequenos</w:t>
      </w:r>
      <w:r>
        <w:t>, e isso fica</w:t>
      </w:r>
      <w:r w:rsidR="00294318">
        <w:t>r</w:t>
      </w:r>
      <w:r>
        <w:t xml:space="preserve"> “escondido” </w:t>
      </w:r>
      <w:r w:rsidR="00AE3019">
        <w:t>por es</w:t>
      </w:r>
      <w:r>
        <w:t>sa forma de cálculo.</w:t>
      </w:r>
    </w:p>
    <w:p w14:paraId="0A904FA6" w14:textId="7B80BB51" w:rsidR="00BC6AAF" w:rsidRDefault="001E7590" w:rsidP="00CD0FEF">
      <w:pPr>
        <w:ind w:firstLine="708"/>
      </w:pPr>
      <w:r>
        <w:t>B – Não apresentação dos dados por região</w:t>
      </w:r>
      <w:r w:rsidR="00C12549">
        <w:t xml:space="preserve"> – </w:t>
      </w:r>
      <w:r>
        <w:t>O mercado de cada região tem um comportamento</w:t>
      </w:r>
      <w:r w:rsidR="00F277A2">
        <w:t xml:space="preserve"> e características </w:t>
      </w:r>
      <w:r>
        <w:t>específic</w:t>
      </w:r>
      <w:r w:rsidR="00F277A2">
        <w:t>as</w:t>
      </w:r>
      <w:r>
        <w:t xml:space="preserve">. O Banco Central </w:t>
      </w:r>
      <w:r w:rsidR="0048431A">
        <w:t xml:space="preserve">prestaria um serviço melhor e </w:t>
      </w:r>
      <w:r>
        <w:t xml:space="preserve">agregaria qualidade </w:t>
      </w:r>
      <w:r w:rsidR="00BC6AAF">
        <w:t>se apresentasse a variação de cada região utilizada na ponderação</w:t>
      </w:r>
      <w:r w:rsidR="00294318">
        <w:t>, a exemplo d</w:t>
      </w:r>
      <w:r w:rsidR="00F277A2">
        <w:t>e inúmeros outros (</w:t>
      </w:r>
      <w:r w:rsidR="00AE3019">
        <w:t xml:space="preserve">p. ex. </w:t>
      </w:r>
      <w:r w:rsidR="00F277A2">
        <w:t>Espanha, França, EUA, Alemanha).</w:t>
      </w:r>
    </w:p>
    <w:p w14:paraId="023DDA2A" w14:textId="35CAFDF3" w:rsidR="00477FF0" w:rsidRDefault="00BC6AAF" w:rsidP="00CD0FEF">
      <w:pPr>
        <w:ind w:firstLine="708"/>
      </w:pPr>
      <w:r>
        <w:t xml:space="preserve">C – Limitação das regiões – </w:t>
      </w:r>
      <w:r w:rsidR="005818DB">
        <w:t xml:space="preserve">Não existe nenhuma razão fundamental para restringir o índice às mesmas regiões utilizadas na elaboração do IPCA. Outras regiões </w:t>
      </w:r>
      <w:r w:rsidR="00477FF0">
        <w:t xml:space="preserve">economicamente </w:t>
      </w:r>
      <w:r w:rsidR="005818DB">
        <w:t>muito importantes poderiam ser incorporadas</w:t>
      </w:r>
      <w:r w:rsidR="006B6608" w:rsidRPr="006B6608">
        <w:t xml:space="preserve"> </w:t>
      </w:r>
      <w:r w:rsidR="006B6608">
        <w:t>na elaboração do índice</w:t>
      </w:r>
      <w:r w:rsidR="00AE3019">
        <w:t>.</w:t>
      </w:r>
    </w:p>
    <w:p w14:paraId="42850A26" w14:textId="77777777" w:rsidR="00483D66" w:rsidRDefault="00477FF0" w:rsidP="00CD0FEF">
      <w:pPr>
        <w:ind w:firstLine="708"/>
      </w:pPr>
      <w:r w:rsidRPr="00702A7F">
        <w:t>D</w:t>
      </w:r>
      <w:r w:rsidR="00FC0059" w:rsidRPr="00702A7F">
        <w:t xml:space="preserve"> – </w:t>
      </w:r>
      <w:r w:rsidR="00483D66">
        <w:t>P</w:t>
      </w:r>
      <w:r w:rsidR="0048431A">
        <w:t xml:space="preserve">oderia ser apresentada uma versão do índice sem o </w:t>
      </w:r>
      <w:r w:rsidR="00702A7F" w:rsidRPr="00702A7F">
        <w:t xml:space="preserve">uso do filtro </w:t>
      </w:r>
      <w:proofErr w:type="spellStart"/>
      <w:r w:rsidR="00702A7F" w:rsidRPr="00702A7F">
        <w:t>Hodrick</w:t>
      </w:r>
      <w:proofErr w:type="spellEnd"/>
      <w:r w:rsidR="00702A7F" w:rsidRPr="00702A7F">
        <w:t>-Prescott</w:t>
      </w:r>
      <w:r w:rsidR="00702A7F">
        <w:t xml:space="preserve">, uma vez que </w:t>
      </w:r>
      <w:r w:rsidR="00B9070F">
        <w:t>este dispositivo</w:t>
      </w:r>
      <w:r w:rsidR="00702A7F">
        <w:t xml:space="preserve"> privilegia </w:t>
      </w:r>
      <w:r w:rsidR="00090871">
        <w:t>a tendência em lugar do ciclo.</w:t>
      </w:r>
      <w:r w:rsidR="00E3029F">
        <w:t xml:space="preserve"> </w:t>
      </w:r>
      <w:r w:rsidR="000D51EF">
        <w:t xml:space="preserve">O gráfico do blog onde está o texto de </w:t>
      </w:r>
      <w:hyperlink r:id="rId14" w:history="1">
        <w:r w:rsidR="000D51EF" w:rsidRPr="006E6E44">
          <w:t>Cohen-</w:t>
        </w:r>
        <w:proofErr w:type="spellStart"/>
        <w:r w:rsidR="000D51EF" w:rsidRPr="006E6E44">
          <w:t>Setton</w:t>
        </w:r>
        <w:proofErr w:type="spellEnd"/>
      </w:hyperlink>
      <w:r w:rsidR="000D51EF">
        <w:t xml:space="preserve">, </w:t>
      </w:r>
      <w:r w:rsidR="000D51EF" w:rsidRPr="002606DB">
        <w:t xml:space="preserve">J. </w:t>
      </w:r>
      <w:r w:rsidR="000D51EF" w:rsidRPr="006E6E44">
        <w:t xml:space="preserve"> </w:t>
      </w:r>
      <w:proofErr w:type="spellStart"/>
      <w:r w:rsidR="000D51EF" w:rsidRPr="006E6E44">
        <w:t>and</w:t>
      </w:r>
      <w:proofErr w:type="spellEnd"/>
      <w:r w:rsidR="000D51EF" w:rsidRPr="006E6E44">
        <w:t xml:space="preserve"> </w:t>
      </w:r>
      <w:hyperlink r:id="rId15" w:history="1">
        <w:proofErr w:type="spellStart"/>
        <w:r w:rsidR="000D51EF" w:rsidRPr="006E6E44">
          <w:t>Yatsynovich</w:t>
        </w:r>
        <w:proofErr w:type="spellEnd"/>
      </w:hyperlink>
      <w:r w:rsidR="000D51EF">
        <w:t xml:space="preserve">, </w:t>
      </w:r>
      <w:r w:rsidR="000D51EF" w:rsidRPr="002606DB">
        <w:t>Y</w:t>
      </w:r>
      <w:r w:rsidR="000D51EF">
        <w:t>, é altamente elucidativo</w:t>
      </w:r>
      <w:r w:rsidR="006B6608">
        <w:rPr>
          <w:rStyle w:val="Refdenotaderodap"/>
        </w:rPr>
        <w:footnoteReference w:id="9"/>
      </w:r>
      <w:r w:rsidR="000D51EF">
        <w:t xml:space="preserve">. </w:t>
      </w:r>
      <w:r w:rsidR="00090871">
        <w:t xml:space="preserve"> </w:t>
      </w:r>
    </w:p>
    <w:p w14:paraId="4BE36D0C" w14:textId="04E323D5" w:rsidR="00C12549" w:rsidRDefault="00C91771" w:rsidP="00CD0FEF">
      <w:pPr>
        <w:ind w:firstLine="708"/>
      </w:pPr>
      <w:r>
        <w:lastRenderedPageBreak/>
        <w:t xml:space="preserve">A tendência de longo prazo </w:t>
      </w:r>
      <w:r w:rsidR="00090871">
        <w:t xml:space="preserve">parece mais adequada aos propósitos da política econômica, e não </w:t>
      </w:r>
      <w:r w:rsidR="00A0502A">
        <w:t>da política monetária, onde os ciclos são mais importantes.</w:t>
      </w:r>
      <w:r w:rsidR="00BB0359">
        <w:t xml:space="preserve"> </w:t>
      </w:r>
    </w:p>
    <w:p w14:paraId="74E10399" w14:textId="77777777" w:rsidR="00A103A2" w:rsidRDefault="00A103A2" w:rsidP="00A103A2">
      <w:pPr>
        <w:rPr>
          <w:u w:val="single"/>
        </w:rPr>
      </w:pPr>
    </w:p>
    <w:p w14:paraId="7FC7FEAB" w14:textId="58E58DD7" w:rsidR="00A103A2" w:rsidRPr="00436027" w:rsidRDefault="00933F63" w:rsidP="001A603A">
      <w:pPr>
        <w:pStyle w:val="Ttulo2"/>
        <w:rPr>
          <w:rFonts w:ascii="Times New Roman" w:hAnsi="Times New Roman" w:cs="Times New Roman"/>
          <w:color w:val="auto"/>
          <w:sz w:val="24"/>
          <w:szCs w:val="24"/>
        </w:rPr>
      </w:pPr>
      <w:bookmarkStart w:id="11" w:name="_Toc424741956"/>
      <w:r w:rsidRPr="00436027">
        <w:rPr>
          <w:rFonts w:ascii="Times New Roman" w:hAnsi="Times New Roman" w:cs="Times New Roman"/>
          <w:color w:val="auto"/>
          <w:sz w:val="24"/>
          <w:szCs w:val="24"/>
        </w:rPr>
        <w:t>4.2</w:t>
      </w:r>
      <w:r w:rsidR="00E111CF" w:rsidRPr="00436027">
        <w:rPr>
          <w:rFonts w:ascii="Times New Roman" w:hAnsi="Times New Roman" w:cs="Times New Roman"/>
          <w:color w:val="auto"/>
          <w:sz w:val="24"/>
          <w:szCs w:val="24"/>
        </w:rPr>
        <w:t xml:space="preserve">. </w:t>
      </w:r>
      <w:r w:rsidRPr="00436027">
        <w:rPr>
          <w:rFonts w:ascii="Times New Roman" w:hAnsi="Times New Roman" w:cs="Times New Roman"/>
          <w:color w:val="auto"/>
          <w:sz w:val="24"/>
          <w:szCs w:val="24"/>
        </w:rPr>
        <w:t xml:space="preserve"> </w:t>
      </w:r>
      <w:r w:rsidR="00A103A2" w:rsidRPr="00436027">
        <w:rPr>
          <w:rFonts w:ascii="Times New Roman" w:hAnsi="Times New Roman" w:cs="Times New Roman"/>
          <w:color w:val="auto"/>
          <w:sz w:val="24"/>
          <w:szCs w:val="24"/>
        </w:rPr>
        <w:t>O Índice FIPE-Zap</w:t>
      </w:r>
      <w:bookmarkEnd w:id="11"/>
    </w:p>
    <w:p w14:paraId="30C9CBC3" w14:textId="77777777" w:rsidR="00A103A2" w:rsidRDefault="00A103A2" w:rsidP="00A103A2">
      <w:pPr>
        <w:ind w:firstLine="708"/>
      </w:pPr>
      <w:r>
        <w:t>O í</w:t>
      </w:r>
      <w:r w:rsidRPr="00A77DDF">
        <w:t>ndice FIPE</w:t>
      </w:r>
      <w:r>
        <w:t>-</w:t>
      </w:r>
      <w:r w:rsidRPr="00A77DDF">
        <w:t xml:space="preserve">Zap de Preços de Imóveis Anunciados </w:t>
      </w:r>
      <w:r>
        <w:t xml:space="preserve">– também conhecido como </w:t>
      </w:r>
      <w:r w:rsidRPr="00A77DDF">
        <w:t>Índice FIPE-ZAP</w:t>
      </w:r>
      <w:r>
        <w:t xml:space="preserve">, é um índice que captura os preços de imóveis ofertados por meio de anúncios classificados. São anúncios singulares, isto é, anúncios individuais de um imóvel. A metodologia completa do índice encontra-se disponível no site da FIPE – Fundação Instituto de Pesquisa Econômica da Universidade de São Paulo </w:t>
      </w:r>
      <w:r>
        <w:rPr>
          <w:rStyle w:val="Refdenotaderodap"/>
        </w:rPr>
        <w:footnoteReference w:id="10"/>
      </w:r>
      <w:r>
        <w:t xml:space="preserve">. </w:t>
      </w:r>
    </w:p>
    <w:p w14:paraId="337A186C" w14:textId="77777777" w:rsidR="00A103A2" w:rsidRPr="00DD605D" w:rsidRDefault="00A103A2" w:rsidP="00A103A2">
      <w:pPr>
        <w:rPr>
          <w:u w:val="single"/>
        </w:rPr>
      </w:pPr>
      <w:r w:rsidRPr="00DD605D">
        <w:rPr>
          <w:u w:val="single"/>
        </w:rPr>
        <w:t xml:space="preserve">Principais pontos da </w:t>
      </w:r>
      <w:r>
        <w:rPr>
          <w:u w:val="single"/>
        </w:rPr>
        <w:t>m</w:t>
      </w:r>
      <w:r w:rsidRPr="00DD605D">
        <w:rPr>
          <w:u w:val="single"/>
        </w:rPr>
        <w:t>etodologia</w:t>
      </w:r>
    </w:p>
    <w:p w14:paraId="6E07B036" w14:textId="77777777" w:rsidR="00A103A2" w:rsidRDefault="00A103A2" w:rsidP="00A103A2">
      <w:pPr>
        <w:ind w:firstLine="708"/>
      </w:pPr>
      <w:r>
        <w:t>O índice é calculado de maneira a apresentar a evolução do preço do m</w:t>
      </w:r>
      <w:r w:rsidRPr="00E204CB">
        <w:rPr>
          <w:vertAlign w:val="superscript"/>
        </w:rPr>
        <w:t>2</w:t>
      </w:r>
      <w:r>
        <w:t xml:space="preserve"> das residências. O índice (Índice Composto) começou a ser </w:t>
      </w:r>
      <w:r w:rsidRPr="00AE22F4">
        <w:t>elaborado em fevereiro de 2011 com anúncios de 11 municípios</w:t>
      </w:r>
      <w:r>
        <w:t>, e outros nove a</w:t>
      </w:r>
      <w:r w:rsidRPr="00AE22F4">
        <w:t xml:space="preserve"> partir de</w:t>
      </w:r>
      <w:r>
        <w:t xml:space="preserve"> janeiro de 2013. </w:t>
      </w:r>
    </w:p>
    <w:p w14:paraId="380004AC" w14:textId="77777777" w:rsidR="00A103A2" w:rsidRDefault="00A103A2" w:rsidP="00A103A2">
      <w:pPr>
        <w:ind w:firstLine="708"/>
      </w:pPr>
      <w:r>
        <w:t xml:space="preserve">São coletados 900 mil anúncios por mês sendo 600 mil do site ZAP e mais 300.000  de outros portais, porém não as vendas de incorporadoras. </w:t>
      </w:r>
    </w:p>
    <w:p w14:paraId="73C01A77" w14:textId="77777777" w:rsidR="00A103A2" w:rsidRDefault="00A103A2" w:rsidP="00A103A2">
      <w:pPr>
        <w:ind w:firstLine="708"/>
      </w:pPr>
      <w:r>
        <w:t xml:space="preserve">O índice final pondera cada cidade de acordo com os dados de domicílios existentes em cada área de ponderação de cada município do Censo de 2010. </w:t>
      </w:r>
    </w:p>
    <w:p w14:paraId="2BC43B39" w14:textId="77777777" w:rsidR="00A103A2" w:rsidRPr="00E3217B" w:rsidRDefault="00A103A2" w:rsidP="00A103A2">
      <w:pPr>
        <w:ind w:firstLine="708"/>
      </w:pPr>
      <w:r>
        <w:t>O índice é calculado apurando as medianas de preço de m</w:t>
      </w:r>
      <w:r w:rsidRPr="005A2497">
        <w:rPr>
          <w:vertAlign w:val="superscript"/>
        </w:rPr>
        <w:t>2</w:t>
      </w:r>
      <w:r>
        <w:t xml:space="preserve"> de cada município, e o índice apresentado em cada mês é a média móvel das medianas dos últimos três meses. </w:t>
      </w:r>
    </w:p>
    <w:p w14:paraId="2220B414" w14:textId="77777777" w:rsidR="00A103A2" w:rsidRDefault="00A103A2" w:rsidP="00A103A2">
      <w:pPr>
        <w:ind w:firstLine="708"/>
      </w:pPr>
      <w:r>
        <w:t>São adotados filtros para eliminar erros nos anúncios (p. ex. imóvel de um m2, ou um imóvel de R$50 milhões). Para isso foi criada uma tabela de limites, fora dos quais os anúncios são eliminados. Igualmente, imóveis do mesmo tamanho, no mesmo bairro, pelo mesmo preço, são considerados anúncios repetidos do mesmo imóvel, e apenas um deles é computado. O bairro do imóvel, para inclusão em uma área censitária é feito de maneira declaratória pelo anunciante.</w:t>
      </w:r>
    </w:p>
    <w:p w14:paraId="7BE0F29A" w14:textId="77777777" w:rsidR="00A103A2" w:rsidRPr="00702A7F" w:rsidRDefault="00A103A2" w:rsidP="00CD0FEF">
      <w:pPr>
        <w:ind w:firstLine="708"/>
      </w:pPr>
    </w:p>
    <w:p w14:paraId="39CCEB11" w14:textId="3D89B1C3" w:rsidR="00FC0059" w:rsidRPr="00F45CA9" w:rsidRDefault="00933F63" w:rsidP="001A603A">
      <w:pPr>
        <w:pStyle w:val="Ttulo3"/>
        <w:rPr>
          <w:rFonts w:ascii="Times New Roman" w:hAnsi="Times New Roman" w:cs="Times New Roman"/>
          <w:color w:val="auto"/>
        </w:rPr>
      </w:pPr>
      <w:bookmarkStart w:id="12" w:name="_Toc424741957"/>
      <w:r w:rsidRPr="00F45CA9">
        <w:rPr>
          <w:rFonts w:ascii="Times New Roman" w:hAnsi="Times New Roman" w:cs="Times New Roman"/>
          <w:color w:val="auto"/>
        </w:rPr>
        <w:t xml:space="preserve">4.2.1 </w:t>
      </w:r>
      <w:r w:rsidR="0079339E" w:rsidRPr="00F45CA9">
        <w:rPr>
          <w:rFonts w:ascii="Times New Roman" w:hAnsi="Times New Roman" w:cs="Times New Roman"/>
          <w:color w:val="auto"/>
        </w:rPr>
        <w:t>Qualidades e Pontos Críticos do Índice</w:t>
      </w:r>
      <w:bookmarkEnd w:id="12"/>
    </w:p>
    <w:p w14:paraId="7F301E9B" w14:textId="7039A33D" w:rsidR="003809FA" w:rsidRDefault="00F43CC3" w:rsidP="00CD0FEF">
      <w:pPr>
        <w:ind w:firstLine="708"/>
      </w:pPr>
      <w:r>
        <w:t>Qualidades</w:t>
      </w:r>
      <w:r w:rsidR="003809FA">
        <w:t>:</w:t>
      </w:r>
      <w:r w:rsidR="00FF2590">
        <w:t xml:space="preserve"> </w:t>
      </w:r>
    </w:p>
    <w:p w14:paraId="6A75CF13" w14:textId="44F69880" w:rsidR="003809FA" w:rsidRDefault="003809FA" w:rsidP="00CD0FEF">
      <w:pPr>
        <w:ind w:firstLine="708"/>
      </w:pPr>
      <w:r>
        <w:t>1 - P</w:t>
      </w:r>
      <w:r w:rsidR="00FF2590">
        <w:t>rimeiro índice de preços de imóveis do Brasil</w:t>
      </w:r>
      <w:r w:rsidR="00121FAB">
        <w:t>, e o mais conhecido e utilizado</w:t>
      </w:r>
      <w:r w:rsidR="00FF2590">
        <w:t xml:space="preserve">. </w:t>
      </w:r>
    </w:p>
    <w:p w14:paraId="0301B15E" w14:textId="77777777" w:rsidR="003809FA" w:rsidRDefault="003809FA" w:rsidP="00CD0FEF">
      <w:pPr>
        <w:ind w:firstLine="708"/>
      </w:pPr>
      <w:r>
        <w:t xml:space="preserve">2 - </w:t>
      </w:r>
      <w:r w:rsidR="00F43CC3">
        <w:t>Tem a</w:t>
      </w:r>
      <w:r w:rsidR="008B1D3D">
        <w:t xml:space="preserve">brangência </w:t>
      </w:r>
      <w:r w:rsidR="00F43CC3">
        <w:t>n</w:t>
      </w:r>
      <w:r w:rsidR="008B1D3D">
        <w:t>acional</w:t>
      </w:r>
      <w:r>
        <w:t>.</w:t>
      </w:r>
    </w:p>
    <w:p w14:paraId="6B20CB40" w14:textId="0AD9E831" w:rsidR="003809FA" w:rsidRDefault="003809FA" w:rsidP="00CD0FEF">
      <w:pPr>
        <w:ind w:firstLine="708"/>
      </w:pPr>
      <w:r>
        <w:t xml:space="preserve">3 - Tem </w:t>
      </w:r>
      <w:r w:rsidR="008B1D3D">
        <w:t>boa amostragem</w:t>
      </w:r>
      <w:r w:rsidR="00F43CC3">
        <w:t xml:space="preserve"> de cidades</w:t>
      </w:r>
      <w:r w:rsidR="008B1D3D">
        <w:t xml:space="preserve">. </w:t>
      </w:r>
    </w:p>
    <w:p w14:paraId="5CF3B464" w14:textId="0B21D763" w:rsidR="001342C4" w:rsidRDefault="003809FA" w:rsidP="00CD0FEF">
      <w:pPr>
        <w:ind w:firstLine="708"/>
      </w:pPr>
      <w:r>
        <w:t xml:space="preserve">4 </w:t>
      </w:r>
      <w:r w:rsidR="00121FAB">
        <w:t>–</w:t>
      </w:r>
      <w:r>
        <w:t xml:space="preserve"> Peri</w:t>
      </w:r>
      <w:r w:rsidR="00891503">
        <w:t>odicidade m</w:t>
      </w:r>
      <w:r w:rsidR="008B1D3D">
        <w:t xml:space="preserve">ensal. </w:t>
      </w:r>
    </w:p>
    <w:p w14:paraId="64AD52FA" w14:textId="77777777" w:rsidR="003809FA" w:rsidRDefault="003809FA" w:rsidP="00CD0FEF"/>
    <w:p w14:paraId="68551CFB" w14:textId="77777777" w:rsidR="003809FA" w:rsidRDefault="00891503" w:rsidP="00CD0FEF">
      <w:pPr>
        <w:ind w:firstLine="708"/>
      </w:pPr>
      <w:r>
        <w:t>Pontos Críticos</w:t>
      </w:r>
    </w:p>
    <w:p w14:paraId="7CC64560" w14:textId="67512356" w:rsidR="008A3B07" w:rsidRDefault="00E02AB6" w:rsidP="00CD0FEF">
      <w:pPr>
        <w:ind w:firstLine="708"/>
      </w:pPr>
      <w:r>
        <w:t xml:space="preserve">1 - </w:t>
      </w:r>
      <w:r w:rsidR="009F4E97">
        <w:t xml:space="preserve">Não </w:t>
      </w:r>
      <w:r w:rsidR="00891503">
        <w:t xml:space="preserve">inclui </w:t>
      </w:r>
      <w:r w:rsidR="009F4E97">
        <w:t>imóveis novos</w:t>
      </w:r>
      <w:r w:rsidR="00DA3D0D">
        <w:t xml:space="preserve"> oferecidos por incorporadoras em lançamentos ou stands</w:t>
      </w:r>
      <w:r w:rsidR="009F4E97">
        <w:t>.</w:t>
      </w:r>
      <w:r w:rsidR="00891503">
        <w:t xml:space="preserve"> Isso é prejudicial ao índice dado que os imóveis novos tem contribuição importante na formação dos preços dos imóveis</w:t>
      </w:r>
      <w:r w:rsidR="00D91DB2">
        <w:t>.</w:t>
      </w:r>
    </w:p>
    <w:p w14:paraId="2EC58AA3" w14:textId="71EA9D28" w:rsidR="00E70797" w:rsidRDefault="00FD35BC" w:rsidP="00CD0FEF">
      <w:pPr>
        <w:ind w:firstLine="708"/>
      </w:pPr>
      <w:r>
        <w:t>2</w:t>
      </w:r>
      <w:r w:rsidR="00E70797">
        <w:t xml:space="preserve"> – Localização declarada. Pela não obrigação de informar o CEP no anúncio, o índice </w:t>
      </w:r>
      <w:r w:rsidR="00596ECC">
        <w:t>FIPE</w:t>
      </w:r>
      <w:r w:rsidR="00E70797">
        <w:t xml:space="preserve">-Zap tampouco </w:t>
      </w:r>
      <w:r w:rsidR="00B52AA7">
        <w:t xml:space="preserve">se vale desse código. A opção de tornar a localização do imóvel em função da declaração do vendedor provoca o efeito de expansão das áreas mais nobres. Um imóvel </w:t>
      </w:r>
      <w:r>
        <w:t xml:space="preserve">no Capão Redondo </w:t>
      </w:r>
      <w:r w:rsidR="00B52AA7">
        <w:t xml:space="preserve">ou Barra Funda </w:t>
      </w:r>
      <w:r>
        <w:t xml:space="preserve">passa a ser </w:t>
      </w:r>
      <w:r w:rsidR="00B52AA7">
        <w:t xml:space="preserve">um imóvel de </w:t>
      </w:r>
      <w:r>
        <w:t xml:space="preserve">Morumbi </w:t>
      </w:r>
      <w:r w:rsidR="00B52AA7">
        <w:t>ou Perdizes, resultando em claras distorções de preço.</w:t>
      </w:r>
    </w:p>
    <w:p w14:paraId="0D983DBE" w14:textId="4A36E8B4" w:rsidR="001342C4" w:rsidRDefault="00FD35BC" w:rsidP="00CD0FEF">
      <w:pPr>
        <w:ind w:firstLine="708"/>
      </w:pPr>
      <w:r>
        <w:t>3</w:t>
      </w:r>
      <w:r w:rsidR="001342C4">
        <w:t xml:space="preserve"> - Preços de pedida dos vendedores, sabidamente acima do preço de fechamento do </w:t>
      </w:r>
      <w:r w:rsidR="000D7780">
        <w:t>negócio</w:t>
      </w:r>
      <w:r w:rsidR="001342C4">
        <w:t>. Apesar de</w:t>
      </w:r>
      <w:r w:rsidR="007D713F">
        <w:t xml:space="preserve"> amplamente utilizado em vários países, essa diferença não é estável ao longo do ciclo.</w:t>
      </w:r>
    </w:p>
    <w:p w14:paraId="70331C35" w14:textId="69391750" w:rsidR="00FD3109" w:rsidRDefault="00FD35BC" w:rsidP="00CD0FEF">
      <w:pPr>
        <w:ind w:firstLine="708"/>
      </w:pPr>
      <w:r>
        <w:t>4</w:t>
      </w:r>
      <w:r w:rsidR="00E02AB6">
        <w:t xml:space="preserve"> - </w:t>
      </w:r>
      <w:r w:rsidR="003322ED">
        <w:t xml:space="preserve">Anúncios repetidos por imobiliárias. </w:t>
      </w:r>
      <w:r w:rsidR="00A25242">
        <w:t>No processo concorrencial entre os corretores, ocorre de haver anúncios de mesmo imóvel com preços diferentes, como forma co</w:t>
      </w:r>
      <w:r w:rsidR="00CC0489">
        <w:t>stumeira de atrair um comprador</w:t>
      </w:r>
      <w:r w:rsidR="007D713F">
        <w:t>.</w:t>
      </w:r>
      <w:r w:rsidR="00A25242">
        <w:t xml:space="preserve"> </w:t>
      </w:r>
      <w:r w:rsidR="008C4BAE">
        <w:t>E</w:t>
      </w:r>
      <w:r w:rsidR="00FD3109">
        <w:t>sta multiplic</w:t>
      </w:r>
      <w:r w:rsidR="00CC0489">
        <w:t>i</w:t>
      </w:r>
      <w:r w:rsidR="00FD3109">
        <w:t>dade gera</w:t>
      </w:r>
      <w:r w:rsidR="00A25242">
        <w:t xml:space="preserve"> ruído na formação do índice.</w:t>
      </w:r>
      <w:r w:rsidR="00F460AC">
        <w:t xml:space="preserve"> </w:t>
      </w:r>
      <w:r w:rsidR="00FD3109">
        <w:t>Caso fosse utilizado o registro dos preços de venda e compra, este manobra seria considerada uma manobra própria do jogo de formação de preços.</w:t>
      </w:r>
    </w:p>
    <w:p w14:paraId="599F6602" w14:textId="0C40904A" w:rsidR="00FF2590" w:rsidRDefault="00FD35BC" w:rsidP="00CD0FEF">
      <w:pPr>
        <w:ind w:firstLine="708"/>
      </w:pPr>
      <w:r>
        <w:t>5</w:t>
      </w:r>
      <w:r w:rsidR="00E02AB6">
        <w:t xml:space="preserve"> - </w:t>
      </w:r>
      <w:r w:rsidR="003322ED">
        <w:t>Anúncios que mudam de preço</w:t>
      </w:r>
      <w:r w:rsidR="00D91DB2">
        <w:t>:</w:t>
      </w:r>
      <w:r w:rsidR="003322ED">
        <w:t xml:space="preserve"> </w:t>
      </w:r>
      <w:r>
        <w:t>Para um imóvel cujo vendedor decide baixar, ou aumentar o preço de venda, o</w:t>
      </w:r>
      <w:r w:rsidR="00E02AB6">
        <w:t xml:space="preserve"> índice </w:t>
      </w:r>
      <w:r w:rsidR="00596ECC">
        <w:t>FIPE</w:t>
      </w:r>
      <w:r w:rsidR="00E02AB6">
        <w:t>-ZAP considera cada preço um anúncio diferente</w:t>
      </w:r>
      <w:r>
        <w:t>, e agrega todos eles ao cálculo do índice</w:t>
      </w:r>
      <w:r w:rsidR="00E02AB6">
        <w:t>. O correto seria que apenas o último preço do mês fosse considerado.</w:t>
      </w:r>
    </w:p>
    <w:p w14:paraId="13C25B35" w14:textId="5064B78B" w:rsidR="00121FAB" w:rsidRPr="00F45CA9" w:rsidRDefault="007B7CE6" w:rsidP="001A603A">
      <w:pPr>
        <w:pStyle w:val="Ttulo3"/>
        <w:rPr>
          <w:rFonts w:ascii="Times New Roman" w:hAnsi="Times New Roman" w:cs="Times New Roman"/>
          <w:color w:val="auto"/>
        </w:rPr>
      </w:pPr>
      <w:bookmarkStart w:id="13" w:name="_Toc424741958"/>
      <w:r w:rsidRPr="00F45CA9">
        <w:rPr>
          <w:rFonts w:ascii="Times New Roman" w:hAnsi="Times New Roman" w:cs="Times New Roman"/>
          <w:color w:val="auto"/>
        </w:rPr>
        <w:t>4.2.2</w:t>
      </w:r>
      <w:r w:rsidR="00E111CF" w:rsidRPr="00F45CA9">
        <w:rPr>
          <w:rFonts w:ascii="Times New Roman" w:hAnsi="Times New Roman" w:cs="Times New Roman"/>
          <w:color w:val="auto"/>
        </w:rPr>
        <w:t xml:space="preserve">.  </w:t>
      </w:r>
      <w:r w:rsidR="00121FAB" w:rsidRPr="00F45CA9">
        <w:rPr>
          <w:rFonts w:ascii="Times New Roman" w:hAnsi="Times New Roman" w:cs="Times New Roman"/>
          <w:color w:val="auto"/>
        </w:rPr>
        <w:t>Índice FGV Imóveis comerciais</w:t>
      </w:r>
      <w:bookmarkEnd w:id="13"/>
    </w:p>
    <w:p w14:paraId="2231B096" w14:textId="77777777" w:rsidR="00121FAB" w:rsidRPr="000C1608" w:rsidRDefault="00121FAB" w:rsidP="00CD0FEF">
      <w:pPr>
        <w:ind w:firstLine="708"/>
      </w:pPr>
      <w:r w:rsidRPr="000C1608">
        <w:t>Este índice é o primeiro com foco em imóveis comerciais.</w:t>
      </w:r>
      <w:r>
        <w:t xml:space="preserve"> Sua periodicidade é trimestral, e aborda a valorização de capital e o fluxo de renda gerada.</w:t>
      </w:r>
      <w:r w:rsidRPr="000C1608">
        <w:t xml:space="preserve"> O principal questionamento que se pode fazer é que ele é baseado principalmente em avaliações, e não em transações efe</w:t>
      </w:r>
      <w:r>
        <w:t xml:space="preserve">tivamente realizadas no mercado, resultando em efeitos atenuadores do ciclo. </w:t>
      </w:r>
    </w:p>
    <w:p w14:paraId="1255E32C" w14:textId="77777777" w:rsidR="00DC2882" w:rsidRDefault="00DC2882" w:rsidP="00CD0FEF"/>
    <w:p w14:paraId="4B412587" w14:textId="66327F0A" w:rsidR="00FC0059" w:rsidRPr="00E4441B" w:rsidRDefault="00E4441B" w:rsidP="00E4441B">
      <w:pPr>
        <w:outlineLvl w:val="1"/>
        <w:rPr>
          <w:b/>
        </w:rPr>
      </w:pPr>
      <w:bookmarkStart w:id="14" w:name="_Toc424741959"/>
      <w:r w:rsidRPr="00E4441B">
        <w:rPr>
          <w:b/>
        </w:rPr>
        <w:t xml:space="preserve">4.3 </w:t>
      </w:r>
      <w:r>
        <w:rPr>
          <w:b/>
        </w:rPr>
        <w:t>C</w:t>
      </w:r>
      <w:r w:rsidRPr="00E4441B">
        <w:rPr>
          <w:b/>
        </w:rPr>
        <w:t xml:space="preserve">omparação </w:t>
      </w:r>
      <w:r w:rsidR="00663203" w:rsidRPr="00E4441B">
        <w:rPr>
          <w:b/>
        </w:rPr>
        <w:t>entre IVG-R e FIPE ZAP</w:t>
      </w:r>
      <w:bookmarkEnd w:id="14"/>
    </w:p>
    <w:p w14:paraId="3E903BCD" w14:textId="77777777" w:rsidR="007778B9" w:rsidRPr="00493AF7" w:rsidRDefault="007778B9" w:rsidP="007778B9">
      <w:pPr>
        <w:ind w:firstLine="708"/>
        <w:rPr>
          <w:u w:val="single"/>
        </w:rPr>
      </w:pPr>
      <w:r w:rsidRPr="00493AF7">
        <w:rPr>
          <w:u w:val="single"/>
        </w:rPr>
        <w:t>Construção das curvas.</w:t>
      </w:r>
    </w:p>
    <w:p w14:paraId="3E5304AF" w14:textId="6A886479" w:rsidR="007778B9" w:rsidRDefault="007778B9" w:rsidP="007778B9">
      <w:pPr>
        <w:ind w:firstLine="708"/>
      </w:pPr>
      <w:r>
        <w:t>As duas curvas utilizadas foram extraídas da publicação do Relatório de Estabilidade Financeira do Banco Central do Brasil, Março 2013</w:t>
      </w:r>
      <w:r>
        <w:rPr>
          <w:rStyle w:val="Refdenotaderodap"/>
        </w:rPr>
        <w:footnoteReference w:id="11"/>
      </w:r>
      <w:r>
        <w:t>. Elas indicam as taxas de crescimento dos preços dos imóveis residenciais, comparando um mês com o mesmo mês no ano anterior. No início do gráfico isto indica que a variação anual dos preços dos imóveis, nos dois casos, foi algo em torno de 15% em termos reais, deflacionado pelo IPCA. Em ambos os casos</w:t>
      </w:r>
      <w:r w:rsidR="00CF4EAD">
        <w:t>,</w:t>
      </w:r>
      <w:r>
        <w:t xml:space="preserve"> também foram calculadas médias móveis dos três meses anteriores, calculadas com base nas variações medianas de cada mês. Essas curvas indicam versões atenuadas do comportamento dos preços coletados pelas duas metodologias: em ambos os casos</w:t>
      </w:r>
      <w:r w:rsidR="00CF4EAD">
        <w:t>,</w:t>
      </w:r>
      <w:r>
        <w:t xml:space="preserve"> são médias móveis de três meses, comparando a taxa total de crescimento em um ano, entre os mesmos meses de anos seguidos. </w:t>
      </w:r>
    </w:p>
    <w:p w14:paraId="4D3D01AA" w14:textId="77777777" w:rsidR="007B7CE6" w:rsidRDefault="007B7CE6" w:rsidP="004231C3">
      <w:pPr>
        <w:jc w:val="center"/>
        <w:rPr>
          <w:rFonts w:eastAsia="MinionPro-Regular" w:cs="Times New Roman"/>
          <w:b/>
          <w:i/>
          <w:color w:val="242424"/>
          <w:sz w:val="20"/>
          <w:szCs w:val="20"/>
        </w:rPr>
      </w:pPr>
    </w:p>
    <w:p w14:paraId="03D74ACC" w14:textId="58903E0B" w:rsidR="004231C3" w:rsidRPr="00216DC3" w:rsidRDefault="004231C3" w:rsidP="004231C3">
      <w:pPr>
        <w:jc w:val="center"/>
        <w:rPr>
          <w:rFonts w:eastAsia="MinionPro-Regular" w:cs="Times New Roman"/>
          <w:b/>
          <w:i/>
          <w:color w:val="242424"/>
          <w:sz w:val="20"/>
          <w:szCs w:val="20"/>
        </w:rPr>
      </w:pPr>
      <w:r w:rsidRPr="00216DC3">
        <w:rPr>
          <w:rFonts w:eastAsia="MinionPro-Regular" w:cs="Times New Roman"/>
          <w:b/>
          <w:i/>
          <w:color w:val="242424"/>
          <w:sz w:val="20"/>
          <w:szCs w:val="20"/>
        </w:rPr>
        <w:t xml:space="preserve">Figura 1 – </w:t>
      </w:r>
      <w:r w:rsidR="005A21E5">
        <w:rPr>
          <w:rFonts w:eastAsia="MinionPro-Regular" w:cs="Times New Roman"/>
          <w:b/>
          <w:i/>
          <w:color w:val="242424"/>
          <w:sz w:val="20"/>
          <w:szCs w:val="20"/>
        </w:rPr>
        <w:t>Evolução % Real:</w:t>
      </w:r>
      <w:r w:rsidRPr="00216DC3">
        <w:rPr>
          <w:rFonts w:eastAsia="MinionPro-Regular" w:cs="Times New Roman"/>
          <w:b/>
          <w:i/>
          <w:color w:val="242424"/>
          <w:sz w:val="20"/>
          <w:szCs w:val="20"/>
        </w:rPr>
        <w:t xml:space="preserve"> Fipe-Zap e IVG-R</w:t>
      </w:r>
      <w:r w:rsidR="00DB009E">
        <w:rPr>
          <w:rFonts w:eastAsia="MinionPro-Regular" w:cs="Times New Roman"/>
          <w:b/>
          <w:i/>
          <w:color w:val="242424"/>
          <w:sz w:val="20"/>
          <w:szCs w:val="20"/>
        </w:rPr>
        <w:t xml:space="preserve"> (Mês/Mês ano anterior)</w:t>
      </w:r>
    </w:p>
    <w:p w14:paraId="7733F677" w14:textId="54093D98" w:rsidR="00FC0059" w:rsidRPr="00C219D7" w:rsidRDefault="002B10B8" w:rsidP="00CD0FEF">
      <w:pPr>
        <w:rPr>
          <w:rFonts w:eastAsia="MinionPro-Regular" w:cs="Times New Roman"/>
          <w:color w:val="242424"/>
          <w:sz w:val="20"/>
          <w:szCs w:val="20"/>
        </w:rPr>
      </w:pPr>
      <w:r w:rsidRPr="002B10B8">
        <w:rPr>
          <w:noProof/>
          <w:lang w:eastAsia="pt-BR"/>
        </w:rPr>
        <w:drawing>
          <wp:inline distT="0" distB="0" distL="0" distR="0" wp14:anchorId="39ABD995" wp14:editId="3D76BA64">
            <wp:extent cx="5688330" cy="2905111"/>
            <wp:effectExtent l="0" t="0" r="762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8330" cy="2905111"/>
                    </a:xfrm>
                    <a:prstGeom prst="rect">
                      <a:avLst/>
                    </a:prstGeom>
                    <a:noFill/>
                    <a:ln>
                      <a:noFill/>
                    </a:ln>
                  </pic:spPr>
                </pic:pic>
              </a:graphicData>
            </a:graphic>
          </wp:inline>
        </w:drawing>
      </w:r>
    </w:p>
    <w:p w14:paraId="7B5244D7" w14:textId="77777777" w:rsidR="00025BA9" w:rsidRDefault="00025BA9" w:rsidP="003326EC">
      <w:pPr>
        <w:ind w:firstLine="708"/>
      </w:pPr>
    </w:p>
    <w:p w14:paraId="21C58507" w14:textId="77777777" w:rsidR="003326EC" w:rsidRDefault="003326EC" w:rsidP="003326EC">
      <w:pPr>
        <w:ind w:firstLine="708"/>
      </w:pPr>
      <w:r>
        <w:t xml:space="preserve">Nos dois gráficos apresentados, na Figura 1, as duas curvas indicam as taxas crescimento dos preços de </w:t>
      </w:r>
      <w:proofErr w:type="spellStart"/>
      <w:r>
        <w:t>jan</w:t>
      </w:r>
      <w:proofErr w:type="spellEnd"/>
      <w:r>
        <w:t xml:space="preserve">/09 até mar/15, e em </w:t>
      </w:r>
      <w:proofErr w:type="spellStart"/>
      <w:r>
        <w:t>jan</w:t>
      </w:r>
      <w:proofErr w:type="spellEnd"/>
      <w:r>
        <w:t>/15 ocorre uma coincidência de as duas curvas se encontrarem com o eixo X, indicando crescimento zero dos preços.</w:t>
      </w:r>
    </w:p>
    <w:p w14:paraId="457ED98C" w14:textId="77777777" w:rsidR="003326EC" w:rsidRPr="0002219F" w:rsidRDefault="003326EC" w:rsidP="003326EC">
      <w:pPr>
        <w:ind w:firstLine="708"/>
        <w:rPr>
          <w:u w:val="single"/>
        </w:rPr>
      </w:pPr>
      <w:r w:rsidRPr="0002219F">
        <w:rPr>
          <w:u w:val="single"/>
        </w:rPr>
        <w:t>Discrepância entre as curvas</w:t>
      </w:r>
    </w:p>
    <w:p w14:paraId="2E6CADBF" w14:textId="77777777" w:rsidR="003326EC" w:rsidRPr="00D73FAB" w:rsidRDefault="003326EC" w:rsidP="003326EC">
      <w:pPr>
        <w:ind w:firstLine="708"/>
      </w:pPr>
      <w:r w:rsidRPr="00D73FAB">
        <w:t xml:space="preserve">Ocorrem dois fenômenos importantes de discrepância entre as duas curvas: </w:t>
      </w:r>
    </w:p>
    <w:p w14:paraId="1A5242B8" w14:textId="77777777" w:rsidR="003326EC" w:rsidRDefault="003326EC" w:rsidP="003326EC">
      <w:pPr>
        <w:ind w:firstLine="708"/>
      </w:pPr>
      <w:r w:rsidRPr="00D73FAB">
        <w:t xml:space="preserve">1 - Discrepância dos momentos de virada de tendência e </w:t>
      </w:r>
    </w:p>
    <w:p w14:paraId="60D64783" w14:textId="77777777" w:rsidR="003326EC" w:rsidRPr="00D73FAB" w:rsidRDefault="003326EC" w:rsidP="003326EC">
      <w:pPr>
        <w:ind w:firstLine="708"/>
      </w:pPr>
      <w:r w:rsidRPr="00D73FAB">
        <w:t>2 – Taxas de crescimento em direção oposta.</w:t>
      </w:r>
    </w:p>
    <w:p w14:paraId="17824F0C" w14:textId="77777777" w:rsidR="003326EC" w:rsidRDefault="003326EC" w:rsidP="003326EC">
      <w:pPr>
        <w:ind w:firstLine="708"/>
      </w:pPr>
    </w:p>
    <w:p w14:paraId="7D1F4CC2" w14:textId="77777777" w:rsidR="003326EC" w:rsidRPr="004B7289" w:rsidRDefault="003326EC" w:rsidP="003326EC">
      <w:pPr>
        <w:ind w:left="708"/>
        <w:rPr>
          <w:u w:val="single"/>
        </w:rPr>
      </w:pPr>
      <w:r>
        <w:rPr>
          <w:u w:val="single"/>
        </w:rPr>
        <w:t xml:space="preserve">1 - </w:t>
      </w:r>
      <w:r w:rsidRPr="004B7289">
        <w:rPr>
          <w:u w:val="single"/>
        </w:rPr>
        <w:t>Discrepância do momento de virada da tendência</w:t>
      </w:r>
    </w:p>
    <w:p w14:paraId="34D0A0AB" w14:textId="77777777" w:rsidR="003326EC" w:rsidRDefault="003326EC" w:rsidP="003326EC">
      <w:pPr>
        <w:ind w:firstLine="708"/>
      </w:pPr>
      <w:r>
        <w:t>Comparando as duas curvas resultantes das séries históricas do Fipe-Zap e do IVG-R, cujos dados e metodologias são inteiramente diferentes, é possível constatar diferenças nas tendências dos preços dos imóveis residenciais.</w:t>
      </w:r>
    </w:p>
    <w:p w14:paraId="42B09311" w14:textId="77777777" w:rsidR="003326EC" w:rsidRDefault="003326EC" w:rsidP="003326EC">
      <w:pPr>
        <w:ind w:firstLine="708"/>
      </w:pPr>
      <w:r>
        <w:t xml:space="preserve">Na curva do IVG-R a tendência de crescimento dos preços se atenua a partir de dez/09. As taxas de crescimento dos preços continuam estáveis na curva FIPE-ZAP, aceleram-se a partir de </w:t>
      </w:r>
      <w:proofErr w:type="spellStart"/>
      <w:r>
        <w:t>mai</w:t>
      </w:r>
      <w:proofErr w:type="spellEnd"/>
      <w:r>
        <w:t>/10.</w:t>
      </w:r>
    </w:p>
    <w:p w14:paraId="0B06CFF1" w14:textId="77777777" w:rsidR="003326EC" w:rsidRDefault="003326EC" w:rsidP="003326EC">
      <w:pPr>
        <w:ind w:firstLine="708"/>
      </w:pPr>
      <w:r>
        <w:t xml:space="preserve">A inversão da tendência no IVG-R ocorre em dez/09, e os preços passam a crescer a taxas menores ao passo que o FIPE-ZAP indica que os preços crescem de forma mais acelerada a partir de </w:t>
      </w:r>
      <w:proofErr w:type="spellStart"/>
      <w:r>
        <w:t>jun</w:t>
      </w:r>
      <w:proofErr w:type="spellEnd"/>
      <w:r>
        <w:t>/10, e prossegue em aceleração até out/11.</w:t>
      </w:r>
    </w:p>
    <w:p w14:paraId="1F63FF15" w14:textId="77777777" w:rsidR="003326EC" w:rsidRDefault="003326EC" w:rsidP="003326EC">
      <w:pPr>
        <w:ind w:firstLine="708"/>
      </w:pPr>
    </w:p>
    <w:p w14:paraId="5A3D9AC0" w14:textId="77777777" w:rsidR="003326EC" w:rsidRPr="005F0B83" w:rsidRDefault="003326EC" w:rsidP="003326EC">
      <w:pPr>
        <w:ind w:firstLine="708"/>
        <w:rPr>
          <w:u w:val="single"/>
        </w:rPr>
      </w:pPr>
      <w:r>
        <w:rPr>
          <w:u w:val="single"/>
        </w:rPr>
        <w:t>2 - Taxas de c</w:t>
      </w:r>
      <w:r w:rsidRPr="005F0B83">
        <w:rPr>
          <w:u w:val="single"/>
        </w:rPr>
        <w:t xml:space="preserve">rescimento </w:t>
      </w:r>
      <w:r>
        <w:rPr>
          <w:u w:val="single"/>
        </w:rPr>
        <w:t xml:space="preserve">de preços, </w:t>
      </w:r>
      <w:r w:rsidRPr="005F0B83">
        <w:rPr>
          <w:u w:val="single"/>
        </w:rPr>
        <w:t>contraditórias</w:t>
      </w:r>
    </w:p>
    <w:p w14:paraId="08669497" w14:textId="77777777" w:rsidR="003326EC" w:rsidRDefault="003326EC" w:rsidP="003326EC">
      <w:pPr>
        <w:ind w:firstLine="708"/>
      </w:pPr>
      <w:r>
        <w:t xml:space="preserve">De acordo com as metodologias adotadas na construção das curvas, existe um período em que as taxas de crescimento dos preços vão em sentidos opostos. Os preços estão acelerando na curva FIPE-ZAP, entre </w:t>
      </w:r>
      <w:proofErr w:type="spellStart"/>
      <w:r>
        <w:t>jun</w:t>
      </w:r>
      <w:proofErr w:type="spellEnd"/>
      <w:r>
        <w:t xml:space="preserve">/10 e </w:t>
      </w:r>
      <w:proofErr w:type="spellStart"/>
      <w:r>
        <w:t>jul</w:t>
      </w:r>
      <w:proofErr w:type="spellEnd"/>
      <w:r>
        <w:t xml:space="preserve">/11, e estão desacelerando na curva IVG-R a partir de set/10. </w:t>
      </w:r>
    </w:p>
    <w:p w14:paraId="625F1A5A" w14:textId="77777777" w:rsidR="003326EC" w:rsidRDefault="003326EC" w:rsidP="003326EC">
      <w:pPr>
        <w:ind w:firstLine="708"/>
      </w:pPr>
      <w:r>
        <w:t>Mais contraditório ainda, é que a aceleração da curva FIPE-ZAP se dá no momento em que a curva IVG-R desacelera.</w:t>
      </w:r>
    </w:p>
    <w:p w14:paraId="394D93A9" w14:textId="77777777" w:rsidR="003326EC" w:rsidRDefault="003326EC" w:rsidP="003326EC">
      <w:pPr>
        <w:ind w:firstLine="708"/>
      </w:pPr>
      <w:r w:rsidRPr="000376DA">
        <w:rPr>
          <w:u w:val="single"/>
        </w:rPr>
        <w:t xml:space="preserve">Hipóteses </w:t>
      </w:r>
      <w:r>
        <w:rPr>
          <w:u w:val="single"/>
        </w:rPr>
        <w:t>sobre as</w:t>
      </w:r>
      <w:r w:rsidRPr="000376DA">
        <w:rPr>
          <w:u w:val="single"/>
        </w:rPr>
        <w:t xml:space="preserve"> discrepâncias</w:t>
      </w:r>
    </w:p>
    <w:p w14:paraId="702692BB" w14:textId="77777777" w:rsidR="003326EC" w:rsidRDefault="003326EC" w:rsidP="003326EC">
      <w:pPr>
        <w:ind w:firstLine="708"/>
      </w:pPr>
      <w:r>
        <w:t xml:space="preserve">A primeira, e mais forte das hipóteses, é sobre a origem dos dados de cada curva. Enquanto a FIPE-ZAP é uma curva de preços pedidos, a curva do IVG-R é muito próxima de valores de negócios concluídos. É intuitivo que os valores da primeira sejam maiores do que da segunda, em qualquer momento. Neste caso a hipótese sanciona as duas </w:t>
      </w:r>
      <w:r>
        <w:lastRenderedPageBreak/>
        <w:t>metodologias, colocadas aqui frente a frente quanto à informação básica de onde são extraídas as informações.</w:t>
      </w:r>
    </w:p>
    <w:p w14:paraId="2F64C591" w14:textId="77777777" w:rsidR="009B1F7D" w:rsidRDefault="009B1F7D" w:rsidP="003326EC">
      <w:pPr>
        <w:ind w:firstLine="708"/>
      </w:pPr>
    </w:p>
    <w:p w14:paraId="6152A6D4" w14:textId="6179C94A" w:rsidR="003326EC" w:rsidRDefault="003326EC" w:rsidP="008904B2">
      <w:pPr>
        <w:ind w:firstLine="708"/>
        <w:jc w:val="center"/>
      </w:pPr>
      <w:r w:rsidRPr="00F16991">
        <w:rPr>
          <w:b/>
          <w:i/>
          <w:sz w:val="20"/>
          <w:szCs w:val="20"/>
        </w:rPr>
        <w:t xml:space="preserve">Figura 2 - </w:t>
      </w:r>
      <w:r w:rsidRPr="00F16991">
        <w:rPr>
          <w:b/>
          <w:bCs/>
          <w:i/>
          <w:sz w:val="20"/>
          <w:szCs w:val="20"/>
        </w:rPr>
        <w:t>Evolução real mensal : FIPE-Zap  x  IVG- R</w:t>
      </w:r>
    </w:p>
    <w:p w14:paraId="5F242A82" w14:textId="01474748" w:rsidR="003326EC" w:rsidRDefault="008904B2" w:rsidP="008904B2">
      <w:r w:rsidRPr="008904B2">
        <w:rPr>
          <w:noProof/>
          <w:lang w:eastAsia="pt-BR"/>
        </w:rPr>
        <w:drawing>
          <wp:inline distT="0" distB="0" distL="0" distR="0" wp14:anchorId="5D4A3BBD" wp14:editId="3F595760">
            <wp:extent cx="5543550" cy="280819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43550" cy="2808197"/>
                    </a:xfrm>
                    <a:prstGeom prst="rect">
                      <a:avLst/>
                    </a:prstGeom>
                    <a:noFill/>
                    <a:ln>
                      <a:noFill/>
                    </a:ln>
                  </pic:spPr>
                </pic:pic>
              </a:graphicData>
            </a:graphic>
          </wp:inline>
        </w:drawing>
      </w:r>
    </w:p>
    <w:p w14:paraId="3601DCBC" w14:textId="5F5D3B81" w:rsidR="009B1F7D" w:rsidRDefault="009B1F7D" w:rsidP="009B1F7D">
      <w:pPr>
        <w:ind w:firstLine="708"/>
      </w:pPr>
      <w:r>
        <w:t xml:space="preserve">Na Figura 2, que traz as informações mensais “puras”, sem cálculo de médias móveis, as curvas, na maior parte do tempo, confirmam a intuição. Entre set/10 e </w:t>
      </w:r>
      <w:proofErr w:type="spellStart"/>
      <w:r>
        <w:t>jan</w:t>
      </w:r>
      <w:proofErr w:type="spellEnd"/>
      <w:r>
        <w:t xml:space="preserve">/13 os preços do FIPE-ZAP foram sistematicamente maiores do que os preços medidos pelo IVG-R, em especial no período que vai de </w:t>
      </w:r>
      <w:proofErr w:type="spellStart"/>
      <w:r>
        <w:t>jul</w:t>
      </w:r>
      <w:proofErr w:type="spellEnd"/>
      <w:r>
        <w:t xml:space="preserve">/10 a </w:t>
      </w:r>
      <w:proofErr w:type="spellStart"/>
      <w:r>
        <w:t>jan</w:t>
      </w:r>
      <w:proofErr w:type="spellEnd"/>
      <w:r>
        <w:t>/13, no qual em todos os meses os preços medidos pelo IVG-R ficaram</w:t>
      </w:r>
      <w:r w:rsidR="00740EDE">
        <w:t xml:space="preserve"> abaixo dos preços do FIPE-ZAP, período no qual também é possível constatar um tendência de baixa de preços nos dois índices.</w:t>
      </w:r>
    </w:p>
    <w:p w14:paraId="097FB650" w14:textId="732DE50E" w:rsidR="003326EC" w:rsidRDefault="00A82A8F" w:rsidP="003326EC">
      <w:pPr>
        <w:ind w:firstLine="708"/>
      </w:pPr>
      <w:r>
        <w:rPr>
          <w:u w:val="single"/>
        </w:rPr>
        <w:t xml:space="preserve">Ausência de </w:t>
      </w:r>
      <w:r w:rsidR="003326EC" w:rsidRPr="00992F97">
        <w:rPr>
          <w:u w:val="single"/>
        </w:rPr>
        <w:t>estratificação</w:t>
      </w:r>
      <w:r w:rsidR="003326EC">
        <w:t xml:space="preserve"> - A segunda hipótese é que poderia haver um aumento da participação dos imóveis de menor valor, e uma </w:t>
      </w:r>
      <w:r w:rsidR="00740EDE">
        <w:t>aumento da participação</w:t>
      </w:r>
      <w:r w:rsidR="003326EC">
        <w:t xml:space="preserve"> dos imóveis de maior valor na coleta de transações para o IVG-R, afetando a curva de preços resultante. Dado que não há nenhuma forma de estratificação por tipo de imóveis, a exemplo do FIPE-ZAP que estratifica os imóveis segundo o número de dormitórios</w:t>
      </w:r>
      <w:r w:rsidR="006016E5">
        <w:t>, isto é bem possível, como se vê a seguir.</w:t>
      </w:r>
      <w:r w:rsidR="003326EC">
        <w:t xml:space="preserve"> </w:t>
      </w:r>
    </w:p>
    <w:p w14:paraId="0381E2EC" w14:textId="6F33DC39" w:rsidR="003326EC" w:rsidRDefault="003326EC" w:rsidP="003326EC">
      <w:pPr>
        <w:ind w:firstLine="708"/>
      </w:pPr>
      <w:r w:rsidRPr="00AA42A5">
        <w:rPr>
          <w:u w:val="single"/>
        </w:rPr>
        <w:t>Contagem em dobro</w:t>
      </w:r>
      <w:r>
        <w:t xml:space="preserve"> – Um desdobramento da hipótese acima resultaria numa contagem em dobro de imóveis do MCMV 2 e 3 (Programa Minha Casa Minha Vida). O efeito seria em dobro porque ele reduziria os preços do IVG-R e aumentaria os preços da curva do FIPE-ZAP, com efeito maior no primeiro caso</w:t>
      </w:r>
      <w:r w:rsidR="006016E5">
        <w:t>, pela ausência de estratificação.</w:t>
      </w:r>
    </w:p>
    <w:p w14:paraId="28EB32A1" w14:textId="7ABFFFFD" w:rsidR="003326EC" w:rsidRDefault="003326EC" w:rsidP="003326EC">
      <w:pPr>
        <w:ind w:firstLine="708"/>
      </w:pPr>
      <w:r>
        <w:t xml:space="preserve">Uma vez que </w:t>
      </w:r>
      <w:r w:rsidRPr="00563F5B">
        <w:t xml:space="preserve">o FIPE-ZAP </w:t>
      </w:r>
      <w:r>
        <w:t xml:space="preserve">coleta apenas os preços de anúncios individuais, os preços dos empreendimentos do MCMV 2 e 3 não estão </w:t>
      </w:r>
      <w:r w:rsidR="00F93236">
        <w:t xml:space="preserve">nele </w:t>
      </w:r>
      <w:r>
        <w:t>incluídos. Esse tipo de empreendimento geralmente é comercializado como qualquer outro empreendimento habitacional, e</w:t>
      </w:r>
      <w:r w:rsidR="00F93236">
        <w:t>,</w:t>
      </w:r>
      <w:r>
        <w:t xml:space="preserve"> portanto, sem os anúncios singulares, que o FIPE-ZAP capta. De outro lado, o IVG-R coleta todos os valores dos imóveis financiados, inclusive todos os incluídos nos empreendimentos do programa MCMV 2 e 3. A maioria dos imóveis desse programa é financiada, tendo em vista que parte do subsídio se dá sob a forma de taxas de juros reduzidas. </w:t>
      </w:r>
    </w:p>
    <w:p w14:paraId="62021B7C" w14:textId="32CC82D9" w:rsidR="003326EC" w:rsidRPr="005523D9" w:rsidRDefault="003326EC" w:rsidP="003326EC">
      <w:pPr>
        <w:rPr>
          <w:rFonts w:eastAsia="MinionPro-Regular" w:cs="Times New Roman"/>
          <w:color w:val="242424"/>
          <w:szCs w:val="24"/>
        </w:rPr>
      </w:pPr>
      <w:r w:rsidRPr="005523D9">
        <w:rPr>
          <w:rFonts w:eastAsia="MinionPro-Regular" w:cs="Times New Roman"/>
          <w:color w:val="242424"/>
          <w:szCs w:val="24"/>
        </w:rPr>
        <w:tab/>
        <w:t xml:space="preserve">Um elemento adicional a corroborar </w:t>
      </w:r>
      <w:r w:rsidR="00F93236">
        <w:rPr>
          <w:rFonts w:eastAsia="MinionPro-Regular" w:cs="Times New Roman"/>
          <w:color w:val="242424"/>
          <w:szCs w:val="24"/>
        </w:rPr>
        <w:t xml:space="preserve">fortemente </w:t>
      </w:r>
      <w:r w:rsidRPr="005523D9">
        <w:rPr>
          <w:rFonts w:eastAsia="MinionPro-Regular" w:cs="Times New Roman"/>
          <w:color w:val="242424"/>
          <w:szCs w:val="24"/>
        </w:rPr>
        <w:t xml:space="preserve">esta </w:t>
      </w:r>
      <w:r>
        <w:rPr>
          <w:rFonts w:eastAsia="MinionPro-Regular" w:cs="Times New Roman"/>
          <w:color w:val="242424"/>
          <w:szCs w:val="24"/>
        </w:rPr>
        <w:t xml:space="preserve">segunda </w:t>
      </w:r>
      <w:r w:rsidRPr="005523D9">
        <w:rPr>
          <w:rFonts w:eastAsia="MinionPro-Regular" w:cs="Times New Roman"/>
          <w:color w:val="242424"/>
          <w:szCs w:val="24"/>
        </w:rPr>
        <w:t xml:space="preserve">hipótese é o </w:t>
      </w:r>
      <w:r w:rsidRPr="005523D9">
        <w:t xml:space="preserve">Balanço do Mercado Imobiliário do Secovi 2014 </w:t>
      </w:r>
      <w:r w:rsidRPr="005523D9">
        <w:rPr>
          <w:rStyle w:val="Refdenotaderodap"/>
          <w:rFonts w:eastAsia="MinionPro-Regular" w:cs="Times New Roman"/>
          <w:color w:val="242424"/>
          <w:szCs w:val="24"/>
        </w:rPr>
        <w:footnoteReference w:id="12"/>
      </w:r>
      <w:r w:rsidRPr="005523D9">
        <w:t xml:space="preserve">. Na página </w:t>
      </w:r>
      <w:r w:rsidRPr="005523D9">
        <w:rPr>
          <w:rFonts w:eastAsia="MinionPro-Regular" w:cs="Times New Roman"/>
          <w:color w:val="242424"/>
          <w:szCs w:val="24"/>
        </w:rPr>
        <w:t xml:space="preserve">37, onde há uma série histórica de unidades residenciais estratificadas por número de dormitórios, as unidades de um dormitório passam de 6% em 2009 a 14% em 2011 do total, enquanto as unidades de quatro dormitórios passam de 19% a 9% no mesmo período.  </w:t>
      </w:r>
    </w:p>
    <w:p w14:paraId="05E54B74" w14:textId="77777777" w:rsidR="003326EC" w:rsidRDefault="003326EC" w:rsidP="003326EC">
      <w:pPr>
        <w:ind w:firstLine="708"/>
        <w:rPr>
          <w:rFonts w:eastAsia="MinionPro-Regular" w:cs="Times New Roman"/>
          <w:strike/>
          <w:color w:val="242424"/>
          <w:szCs w:val="24"/>
        </w:rPr>
      </w:pPr>
    </w:p>
    <w:p w14:paraId="488C47BA" w14:textId="61F0A7B9" w:rsidR="003326EC" w:rsidRPr="00436027" w:rsidRDefault="00622E79" w:rsidP="00622E79">
      <w:pPr>
        <w:pStyle w:val="Ttulo2"/>
        <w:rPr>
          <w:rFonts w:ascii="Times New Roman" w:hAnsi="Times New Roman" w:cs="Times New Roman"/>
          <w:color w:val="auto"/>
          <w:sz w:val="24"/>
          <w:szCs w:val="24"/>
        </w:rPr>
      </w:pPr>
      <w:bookmarkStart w:id="15" w:name="_Toc424741960"/>
      <w:r w:rsidRPr="00436027">
        <w:rPr>
          <w:rFonts w:ascii="Times New Roman" w:hAnsi="Times New Roman" w:cs="Times New Roman"/>
          <w:color w:val="auto"/>
          <w:sz w:val="24"/>
          <w:szCs w:val="24"/>
        </w:rPr>
        <w:t>4.</w:t>
      </w:r>
      <w:r w:rsidR="00436027" w:rsidRPr="00436027">
        <w:rPr>
          <w:rFonts w:ascii="Times New Roman" w:hAnsi="Times New Roman" w:cs="Times New Roman"/>
          <w:color w:val="auto"/>
          <w:sz w:val="24"/>
          <w:szCs w:val="24"/>
        </w:rPr>
        <w:t>3</w:t>
      </w:r>
      <w:r w:rsidRPr="00436027">
        <w:rPr>
          <w:rFonts w:ascii="Times New Roman" w:hAnsi="Times New Roman" w:cs="Times New Roman"/>
          <w:color w:val="auto"/>
          <w:sz w:val="24"/>
          <w:szCs w:val="24"/>
        </w:rPr>
        <w:t xml:space="preserve"> </w:t>
      </w:r>
      <w:r w:rsidR="003326EC" w:rsidRPr="00436027">
        <w:rPr>
          <w:rFonts w:ascii="Times New Roman" w:hAnsi="Times New Roman" w:cs="Times New Roman"/>
          <w:color w:val="auto"/>
          <w:sz w:val="24"/>
          <w:szCs w:val="24"/>
        </w:rPr>
        <w:t>Uso das informações dos índices de preços IVG_R e FIPE-ZAP</w:t>
      </w:r>
      <w:bookmarkEnd w:id="15"/>
    </w:p>
    <w:p w14:paraId="48A89950" w14:textId="77777777" w:rsidR="003326EC" w:rsidRDefault="003326EC" w:rsidP="003326EC">
      <w:pPr>
        <w:ind w:firstLine="708"/>
        <w:rPr>
          <w:rFonts w:eastAsia="MinionPro-Regular" w:cs="Times New Roman"/>
          <w:color w:val="242424"/>
          <w:szCs w:val="24"/>
        </w:rPr>
      </w:pPr>
      <w:r w:rsidRPr="00215F77">
        <w:rPr>
          <w:rFonts w:eastAsia="MinionPro-Regular" w:cs="Times New Roman"/>
          <w:color w:val="242424"/>
          <w:szCs w:val="24"/>
        </w:rPr>
        <w:t>As hipótese</w:t>
      </w:r>
      <w:r>
        <w:rPr>
          <w:rFonts w:eastAsia="MinionPro-Regular" w:cs="Times New Roman"/>
          <w:color w:val="242424"/>
          <w:szCs w:val="24"/>
        </w:rPr>
        <w:t>s</w:t>
      </w:r>
      <w:r w:rsidRPr="00215F77">
        <w:rPr>
          <w:rFonts w:eastAsia="MinionPro-Regular" w:cs="Times New Roman"/>
          <w:color w:val="242424"/>
          <w:szCs w:val="24"/>
        </w:rPr>
        <w:t xml:space="preserve"> acima demandam investigação adicional para sua elucidação, o que, contudo, não impede que se constate que as tendências opostas de preços proporcionadas pelos dois índices </w:t>
      </w:r>
      <w:r>
        <w:rPr>
          <w:rFonts w:eastAsia="MinionPro-Regular" w:cs="Times New Roman"/>
          <w:color w:val="242424"/>
          <w:szCs w:val="24"/>
        </w:rPr>
        <w:t xml:space="preserve">poderiam apresentar dificuldades para os </w:t>
      </w:r>
      <w:r w:rsidRPr="00215F77">
        <w:rPr>
          <w:rFonts w:eastAsia="MinionPro-Regular" w:cs="Times New Roman"/>
          <w:color w:val="242424"/>
          <w:szCs w:val="24"/>
        </w:rPr>
        <w:t>formuladores de política monetária ou econômica</w:t>
      </w:r>
      <w:r>
        <w:rPr>
          <w:rFonts w:eastAsia="MinionPro-Regular" w:cs="Times New Roman"/>
          <w:color w:val="242424"/>
          <w:szCs w:val="24"/>
        </w:rPr>
        <w:t>, em função das tendências contraditórias apresentadas.</w:t>
      </w:r>
    </w:p>
    <w:p w14:paraId="070E7DBD" w14:textId="443409B6" w:rsidR="003326EC" w:rsidRPr="00215F77" w:rsidRDefault="003326EC" w:rsidP="003326EC">
      <w:pPr>
        <w:ind w:firstLine="708"/>
        <w:rPr>
          <w:rFonts w:eastAsia="MinionPro-Regular" w:cs="Times New Roman"/>
          <w:color w:val="242424"/>
          <w:szCs w:val="24"/>
        </w:rPr>
      </w:pPr>
      <w:r w:rsidRPr="00215F77">
        <w:rPr>
          <w:rFonts w:eastAsia="MinionPro-Regular" w:cs="Times New Roman"/>
          <w:color w:val="242424"/>
          <w:szCs w:val="24"/>
        </w:rPr>
        <w:t>Por um lado</w:t>
      </w:r>
      <w:r>
        <w:rPr>
          <w:rFonts w:eastAsia="MinionPro-Regular" w:cs="Times New Roman"/>
          <w:color w:val="242424"/>
          <w:szCs w:val="24"/>
        </w:rPr>
        <w:t>,</w:t>
      </w:r>
      <w:r w:rsidRPr="00215F77">
        <w:rPr>
          <w:rFonts w:eastAsia="MinionPro-Regular" w:cs="Times New Roman"/>
          <w:color w:val="242424"/>
          <w:szCs w:val="24"/>
        </w:rPr>
        <w:t xml:space="preserve"> os métodos de elaboração dos índices tem aqui uma demonstração cabal de certo grau de </w:t>
      </w:r>
      <w:r>
        <w:rPr>
          <w:rFonts w:eastAsia="MinionPro-Regular" w:cs="Times New Roman"/>
          <w:color w:val="242424"/>
          <w:szCs w:val="24"/>
        </w:rPr>
        <w:t>flexibilidade quanto às interpretações possíveis</w:t>
      </w:r>
      <w:r w:rsidRPr="00215F77">
        <w:rPr>
          <w:rFonts w:eastAsia="MinionPro-Regular" w:cs="Times New Roman"/>
          <w:color w:val="242424"/>
          <w:szCs w:val="24"/>
        </w:rPr>
        <w:t xml:space="preserve">. Por outro, o uso dos resultados da leitura das curvas resultantes deixa dúvidas sobre o real comportamento do mercado. </w:t>
      </w:r>
      <w:r>
        <w:rPr>
          <w:rFonts w:eastAsia="MinionPro-Regular" w:cs="Times New Roman"/>
          <w:color w:val="242424"/>
          <w:szCs w:val="24"/>
        </w:rPr>
        <w:t>O mercado está em crescimento ou em declínio</w:t>
      </w:r>
      <w:r w:rsidRPr="00215F77">
        <w:rPr>
          <w:rFonts w:eastAsia="MinionPro-Regular" w:cs="Times New Roman"/>
          <w:color w:val="242424"/>
          <w:szCs w:val="24"/>
        </w:rPr>
        <w:t xml:space="preserve">? </w:t>
      </w:r>
      <w:r>
        <w:rPr>
          <w:rFonts w:eastAsia="MinionPro-Regular" w:cs="Times New Roman"/>
          <w:color w:val="242424"/>
          <w:szCs w:val="24"/>
        </w:rPr>
        <w:t xml:space="preserve">Seria este o momento de restringir as vendas de imóveis, ou de incentivá-las, ou não fazer nada? </w:t>
      </w:r>
      <w:r w:rsidRPr="00215F77">
        <w:rPr>
          <w:rFonts w:eastAsia="MinionPro-Regular" w:cs="Times New Roman"/>
          <w:color w:val="242424"/>
          <w:szCs w:val="24"/>
        </w:rPr>
        <w:t xml:space="preserve">Deveriam as </w:t>
      </w:r>
      <w:r w:rsidR="00482569">
        <w:rPr>
          <w:rFonts w:eastAsia="MinionPro-Regular" w:cs="Times New Roman"/>
          <w:color w:val="242424"/>
          <w:szCs w:val="24"/>
        </w:rPr>
        <w:t>política</w:t>
      </w:r>
      <w:r w:rsidRPr="00215F77">
        <w:rPr>
          <w:rFonts w:eastAsia="MinionPro-Regular" w:cs="Times New Roman"/>
          <w:color w:val="242424"/>
          <w:szCs w:val="24"/>
        </w:rPr>
        <w:t>s de crédito incentivar que as famílias tomassem mais crédito, para incentivar o mercado, ou o crédito deveria ser desincentivado, para que fosse contida a formação de uma bolha?</w:t>
      </w:r>
    </w:p>
    <w:p w14:paraId="709E9819" w14:textId="77777777" w:rsidR="00FC0059" w:rsidRDefault="00FC0059" w:rsidP="00CD0FEF">
      <w:pPr>
        <w:rPr>
          <w:rFonts w:eastAsia="Times New Roman"/>
        </w:rPr>
      </w:pPr>
    </w:p>
    <w:p w14:paraId="0F3DE9CD" w14:textId="4549ECC6" w:rsidR="00FC0059" w:rsidRPr="00622E79" w:rsidRDefault="001649CF" w:rsidP="00663203">
      <w:pPr>
        <w:pStyle w:val="PargrafodaLista"/>
        <w:numPr>
          <w:ilvl w:val="0"/>
          <w:numId w:val="4"/>
        </w:numPr>
        <w:ind w:left="0" w:hanging="11"/>
        <w:outlineLvl w:val="0"/>
        <w:rPr>
          <w:b/>
          <w:u w:val="single"/>
        </w:rPr>
      </w:pPr>
      <w:bookmarkStart w:id="16" w:name="_Toc424741961"/>
      <w:r w:rsidRPr="00622E79">
        <w:rPr>
          <w:b/>
          <w:u w:val="single"/>
        </w:rPr>
        <w:t>CONCLUSÕES</w:t>
      </w:r>
      <w:bookmarkEnd w:id="16"/>
    </w:p>
    <w:p w14:paraId="7B68F0E5" w14:textId="19A5B649" w:rsidR="00A3553E" w:rsidRDefault="00A3553E" w:rsidP="00A3553E">
      <w:pPr>
        <w:ind w:firstLine="708"/>
        <w:rPr>
          <w:rFonts w:eastAsia="MinionPro-Regular" w:cs="Times New Roman"/>
          <w:color w:val="242424"/>
          <w:szCs w:val="24"/>
        </w:rPr>
      </w:pPr>
      <w:r w:rsidRPr="00463A39">
        <w:rPr>
          <w:rFonts w:eastAsia="MinionPro-Regular" w:cs="Times New Roman"/>
          <w:color w:val="242424"/>
          <w:szCs w:val="24"/>
        </w:rPr>
        <w:t>Evidentemente</w:t>
      </w:r>
      <w:r w:rsidR="006A60E8">
        <w:rPr>
          <w:rFonts w:eastAsia="MinionPro-Regular" w:cs="Times New Roman"/>
          <w:color w:val="242424"/>
          <w:szCs w:val="24"/>
        </w:rPr>
        <w:t>,</w:t>
      </w:r>
      <w:r w:rsidRPr="00463A39">
        <w:rPr>
          <w:rFonts w:eastAsia="MinionPro-Regular" w:cs="Times New Roman"/>
          <w:color w:val="242424"/>
          <w:szCs w:val="24"/>
        </w:rPr>
        <w:t xml:space="preserve"> uma </w:t>
      </w:r>
      <w:r w:rsidR="00482569">
        <w:rPr>
          <w:rFonts w:eastAsia="MinionPro-Regular" w:cs="Times New Roman"/>
          <w:color w:val="242424"/>
          <w:szCs w:val="24"/>
        </w:rPr>
        <w:t>política</w:t>
      </w:r>
      <w:r w:rsidRPr="00463A39">
        <w:rPr>
          <w:rFonts w:eastAsia="MinionPro-Regular" w:cs="Times New Roman"/>
          <w:color w:val="242424"/>
          <w:szCs w:val="24"/>
        </w:rPr>
        <w:t xml:space="preserve"> econômica não se baseia, </w:t>
      </w:r>
      <w:r w:rsidR="005618D7">
        <w:rPr>
          <w:rFonts w:eastAsia="MinionPro-Regular" w:cs="Times New Roman"/>
          <w:color w:val="242424"/>
          <w:szCs w:val="24"/>
        </w:rPr>
        <w:t xml:space="preserve">como </w:t>
      </w:r>
      <w:r w:rsidRPr="00463A39">
        <w:rPr>
          <w:rFonts w:eastAsia="MinionPro-Regular" w:cs="Times New Roman"/>
          <w:color w:val="242424"/>
          <w:szCs w:val="24"/>
        </w:rPr>
        <w:t xml:space="preserve">não pode se </w:t>
      </w:r>
      <w:proofErr w:type="gramStart"/>
      <w:r w:rsidRPr="00463A39">
        <w:rPr>
          <w:rFonts w:eastAsia="MinionPro-Regular" w:cs="Times New Roman"/>
          <w:color w:val="242424"/>
          <w:szCs w:val="24"/>
        </w:rPr>
        <w:t>basear</w:t>
      </w:r>
      <w:r>
        <w:rPr>
          <w:rFonts w:eastAsia="MinionPro-Regular" w:cs="Times New Roman"/>
          <w:color w:val="242424"/>
          <w:szCs w:val="24"/>
        </w:rPr>
        <w:t>,</w:t>
      </w:r>
      <w:proofErr w:type="gramEnd"/>
      <w:r w:rsidRPr="00463A39">
        <w:rPr>
          <w:rFonts w:eastAsia="MinionPro-Regular" w:cs="Times New Roman"/>
          <w:color w:val="242424"/>
          <w:szCs w:val="24"/>
        </w:rPr>
        <w:t xml:space="preserve"> unicamente em um indicador, </w:t>
      </w:r>
      <w:r>
        <w:rPr>
          <w:rFonts w:eastAsia="MinionPro-Regular" w:cs="Times New Roman"/>
          <w:color w:val="242424"/>
          <w:szCs w:val="24"/>
        </w:rPr>
        <w:t xml:space="preserve">seja ele </w:t>
      </w:r>
      <w:r w:rsidRPr="00463A39">
        <w:rPr>
          <w:rFonts w:eastAsia="MinionPro-Regular" w:cs="Times New Roman"/>
          <w:color w:val="242424"/>
          <w:szCs w:val="24"/>
        </w:rPr>
        <w:t>o índice de preços de imóveis</w:t>
      </w:r>
      <w:r>
        <w:rPr>
          <w:rFonts w:eastAsia="MinionPro-Regular" w:cs="Times New Roman"/>
          <w:color w:val="242424"/>
          <w:szCs w:val="24"/>
        </w:rPr>
        <w:t xml:space="preserve"> ou qualquer outro</w:t>
      </w:r>
      <w:r w:rsidRPr="00463A39">
        <w:rPr>
          <w:rFonts w:eastAsia="MinionPro-Regular" w:cs="Times New Roman"/>
          <w:color w:val="242424"/>
          <w:szCs w:val="24"/>
        </w:rPr>
        <w:t>. Outros indicadores como</w:t>
      </w:r>
      <w:r>
        <w:rPr>
          <w:rFonts w:eastAsia="MinionPro-Regular" w:cs="Times New Roman"/>
          <w:color w:val="242424"/>
          <w:szCs w:val="24"/>
        </w:rPr>
        <w:t>,</w:t>
      </w:r>
      <w:r w:rsidRPr="00463A39">
        <w:rPr>
          <w:rFonts w:eastAsia="MinionPro-Regular" w:cs="Times New Roman"/>
          <w:color w:val="242424"/>
          <w:szCs w:val="24"/>
        </w:rPr>
        <w:t xml:space="preserve"> por exemplo</w:t>
      </w:r>
      <w:r>
        <w:rPr>
          <w:rFonts w:eastAsia="MinionPro-Regular" w:cs="Times New Roman"/>
          <w:color w:val="242424"/>
          <w:szCs w:val="24"/>
        </w:rPr>
        <w:t>,</w:t>
      </w:r>
      <w:r w:rsidRPr="00463A39">
        <w:rPr>
          <w:rFonts w:eastAsia="MinionPro-Regular" w:cs="Times New Roman"/>
          <w:color w:val="242424"/>
          <w:szCs w:val="24"/>
        </w:rPr>
        <w:t xml:space="preserve"> o volume das transações, a taxa de juros, o volume de recursos direcionados para crédito habitacional, o volume de salários e sua tendência, a tendência das taxas de inflação, são outros elementos que </w:t>
      </w:r>
      <w:r>
        <w:rPr>
          <w:rFonts w:eastAsia="MinionPro-Regular" w:cs="Times New Roman"/>
          <w:color w:val="242424"/>
          <w:szCs w:val="24"/>
        </w:rPr>
        <w:t>devem também ser levados em conta.</w:t>
      </w:r>
    </w:p>
    <w:p w14:paraId="0D7F1E1C" w14:textId="77777777" w:rsidR="008A4411" w:rsidRDefault="00A3553E" w:rsidP="003D44C2">
      <w:pPr>
        <w:ind w:firstLine="708"/>
        <w:rPr>
          <w:rFonts w:eastAsia="MinionPro-Regular" w:cs="Times New Roman"/>
          <w:color w:val="242424"/>
          <w:szCs w:val="24"/>
        </w:rPr>
      </w:pPr>
      <w:r>
        <w:rPr>
          <w:rFonts w:eastAsia="MinionPro-Regular" w:cs="Times New Roman"/>
          <w:color w:val="242424"/>
          <w:szCs w:val="24"/>
        </w:rPr>
        <w:t xml:space="preserve">Ainda tem o Brasil muito a andar nesta seara, visto que nem mesmo a informação sobre a quantidade de imóveis transacionados está disponível dentre as estatísticas nacionais, que dirá de índices sobre preços de negócios fechados sobre </w:t>
      </w:r>
      <w:r w:rsidRPr="00F10BDB">
        <w:rPr>
          <w:rFonts w:eastAsia="MinionPro-Regular" w:cs="Times New Roman"/>
          <w:color w:val="242424"/>
          <w:szCs w:val="24"/>
          <w:u w:val="single"/>
        </w:rPr>
        <w:t>todas</w:t>
      </w:r>
      <w:r>
        <w:rPr>
          <w:rFonts w:eastAsia="MinionPro-Regular" w:cs="Times New Roman"/>
          <w:color w:val="242424"/>
          <w:szCs w:val="24"/>
        </w:rPr>
        <w:t xml:space="preserve"> as </w:t>
      </w:r>
      <w:r w:rsidR="003D44C2">
        <w:rPr>
          <w:rFonts w:eastAsia="MinionPro-Regular" w:cs="Times New Roman"/>
          <w:color w:val="242424"/>
          <w:szCs w:val="24"/>
        </w:rPr>
        <w:t>transações imobiliárias, incluindo imóveis rurais</w:t>
      </w:r>
      <w:r>
        <w:rPr>
          <w:rFonts w:eastAsia="MinionPro-Regular" w:cs="Times New Roman"/>
          <w:color w:val="242424"/>
          <w:szCs w:val="24"/>
        </w:rPr>
        <w:t>.</w:t>
      </w:r>
    </w:p>
    <w:p w14:paraId="3CC72932" w14:textId="4E687951" w:rsidR="0045598A" w:rsidRDefault="002B43CC" w:rsidP="00CD1E1E">
      <w:pPr>
        <w:ind w:firstLine="708"/>
        <w:rPr>
          <w:rFonts w:eastAsia="MinionPro-Regular" w:cs="Times New Roman"/>
          <w:color w:val="242424"/>
          <w:szCs w:val="24"/>
        </w:rPr>
      </w:pPr>
      <w:r w:rsidRPr="00463A39">
        <w:rPr>
          <w:rFonts w:eastAsia="MinionPro-Regular" w:cs="Times New Roman"/>
          <w:color w:val="242424"/>
          <w:szCs w:val="24"/>
        </w:rPr>
        <w:t xml:space="preserve">Além de extrairmos conclusões sobre a importância da existência de índices de preços dos imóveis residenciais, e da </w:t>
      </w:r>
      <w:r w:rsidR="008A4411">
        <w:rPr>
          <w:rFonts w:eastAsia="MinionPro-Regular" w:cs="Times New Roman"/>
          <w:color w:val="242424"/>
          <w:szCs w:val="24"/>
        </w:rPr>
        <w:t xml:space="preserve">grande </w:t>
      </w:r>
      <w:r w:rsidRPr="00463A39">
        <w:rPr>
          <w:rFonts w:eastAsia="MinionPro-Regular" w:cs="Times New Roman"/>
          <w:color w:val="242424"/>
          <w:szCs w:val="24"/>
        </w:rPr>
        <w:t>importância desse</w:t>
      </w:r>
      <w:r w:rsidR="008A4411">
        <w:rPr>
          <w:rFonts w:eastAsia="MinionPro-Regular" w:cs="Times New Roman"/>
          <w:color w:val="242424"/>
          <w:szCs w:val="24"/>
        </w:rPr>
        <w:t xml:space="preserve"> tipo de </w:t>
      </w:r>
      <w:r w:rsidRPr="00463A39">
        <w:rPr>
          <w:rFonts w:eastAsia="MinionPro-Regular" w:cs="Times New Roman"/>
          <w:color w:val="242424"/>
          <w:szCs w:val="24"/>
        </w:rPr>
        <w:t>índice</w:t>
      </w:r>
      <w:r w:rsidR="008A4411">
        <w:rPr>
          <w:rFonts w:eastAsia="MinionPro-Regular" w:cs="Times New Roman"/>
          <w:color w:val="242424"/>
          <w:szCs w:val="24"/>
        </w:rPr>
        <w:t xml:space="preserve"> </w:t>
      </w:r>
      <w:proofErr w:type="gramStart"/>
      <w:r w:rsidRPr="00463A39">
        <w:rPr>
          <w:rFonts w:eastAsia="MinionPro-Regular" w:cs="Times New Roman"/>
          <w:color w:val="242424"/>
          <w:szCs w:val="24"/>
        </w:rPr>
        <w:t>face a</w:t>
      </w:r>
      <w:proofErr w:type="gramEnd"/>
      <w:r w:rsidRPr="00463A39">
        <w:rPr>
          <w:rFonts w:eastAsia="MinionPro-Regular" w:cs="Times New Roman"/>
          <w:color w:val="242424"/>
          <w:szCs w:val="24"/>
        </w:rPr>
        <w:t xml:space="preserve"> outros instrumentos de análise econômic</w:t>
      </w:r>
      <w:r w:rsidR="00CD1E2C">
        <w:rPr>
          <w:rFonts w:eastAsia="MinionPro-Regular" w:cs="Times New Roman"/>
          <w:color w:val="242424"/>
          <w:szCs w:val="24"/>
        </w:rPr>
        <w:t>a</w:t>
      </w:r>
      <w:r w:rsidRPr="00463A39">
        <w:rPr>
          <w:rFonts w:eastAsia="MinionPro-Regular" w:cs="Times New Roman"/>
          <w:color w:val="242424"/>
          <w:szCs w:val="24"/>
        </w:rPr>
        <w:t>, é possível afirmar também que não</w:t>
      </w:r>
      <w:r>
        <w:rPr>
          <w:rFonts w:eastAsia="MinionPro-Regular" w:cs="Times New Roman"/>
          <w:color w:val="242424"/>
          <w:szCs w:val="24"/>
        </w:rPr>
        <w:t xml:space="preserve"> é razoável criticar um </w:t>
      </w:r>
      <w:r w:rsidRPr="00463A39">
        <w:rPr>
          <w:rFonts w:eastAsia="MinionPro-Regular" w:cs="Times New Roman"/>
          <w:color w:val="242424"/>
          <w:szCs w:val="24"/>
        </w:rPr>
        <w:t>índice de preços, e a respectiva metodologia, dado que cada um deles capta diferentes aspectos de um mesmo mercado.</w:t>
      </w:r>
      <w:r w:rsidR="00A3553E">
        <w:rPr>
          <w:rFonts w:eastAsia="MinionPro-Regular" w:cs="Times New Roman"/>
          <w:color w:val="242424"/>
          <w:szCs w:val="24"/>
        </w:rPr>
        <w:t xml:space="preserve"> </w:t>
      </w:r>
      <w:r w:rsidR="00CD1E1E">
        <w:rPr>
          <w:rFonts w:eastAsia="MinionPro-Regular" w:cs="Times New Roman"/>
          <w:color w:val="242424"/>
          <w:szCs w:val="24"/>
        </w:rPr>
        <w:t xml:space="preserve">O </w:t>
      </w:r>
      <w:proofErr w:type="spellStart"/>
      <w:r w:rsidR="00CD1E1E" w:rsidRPr="00CF5C0B">
        <w:rPr>
          <w:rFonts w:cs="Times New Roman"/>
          <w:szCs w:val="24"/>
        </w:rPr>
        <w:t>Handbook</w:t>
      </w:r>
      <w:proofErr w:type="spellEnd"/>
      <w:r w:rsidR="00CD1E1E" w:rsidRPr="00CF5C0B">
        <w:rPr>
          <w:rFonts w:cs="Times New Roman"/>
          <w:szCs w:val="24"/>
        </w:rPr>
        <w:t xml:space="preserve"> </w:t>
      </w:r>
      <w:proofErr w:type="spellStart"/>
      <w:r w:rsidR="00CD1E1E" w:rsidRPr="00CF5C0B">
        <w:rPr>
          <w:rFonts w:cs="Times New Roman"/>
          <w:szCs w:val="24"/>
        </w:rPr>
        <w:t>on</w:t>
      </w:r>
      <w:proofErr w:type="spellEnd"/>
      <w:r w:rsidR="00CD1E1E" w:rsidRPr="00CF5C0B">
        <w:rPr>
          <w:rFonts w:cs="Times New Roman"/>
          <w:szCs w:val="24"/>
        </w:rPr>
        <w:t xml:space="preserve"> </w:t>
      </w:r>
      <w:proofErr w:type="spellStart"/>
      <w:r w:rsidR="00CD1E1E" w:rsidRPr="00CF5C0B">
        <w:rPr>
          <w:rFonts w:cs="Times New Roman"/>
          <w:szCs w:val="24"/>
        </w:rPr>
        <w:t>Residential</w:t>
      </w:r>
      <w:proofErr w:type="spellEnd"/>
      <w:r w:rsidR="00CD1E1E" w:rsidRPr="00CF5C0B">
        <w:rPr>
          <w:rFonts w:cs="Times New Roman"/>
          <w:szCs w:val="24"/>
        </w:rPr>
        <w:t xml:space="preserve"> </w:t>
      </w:r>
      <w:proofErr w:type="spellStart"/>
      <w:r w:rsidR="00CD1E1E" w:rsidRPr="00CF5C0B">
        <w:rPr>
          <w:rFonts w:cs="Times New Roman"/>
          <w:szCs w:val="24"/>
        </w:rPr>
        <w:t>Property</w:t>
      </w:r>
      <w:proofErr w:type="spellEnd"/>
      <w:r w:rsidR="00CD1E1E" w:rsidRPr="00CF5C0B">
        <w:rPr>
          <w:rFonts w:cs="Times New Roman"/>
          <w:szCs w:val="24"/>
        </w:rPr>
        <w:t xml:space="preserve"> </w:t>
      </w:r>
      <w:proofErr w:type="spellStart"/>
      <w:r w:rsidR="00CD1E1E" w:rsidRPr="00CF5C0B">
        <w:rPr>
          <w:rFonts w:cs="Times New Roman"/>
          <w:szCs w:val="24"/>
        </w:rPr>
        <w:t>Prices</w:t>
      </w:r>
      <w:proofErr w:type="spellEnd"/>
      <w:r w:rsidR="00CD1E1E" w:rsidRPr="00CF5C0B">
        <w:rPr>
          <w:rFonts w:cs="Times New Roman"/>
          <w:szCs w:val="24"/>
        </w:rPr>
        <w:t xml:space="preserve"> </w:t>
      </w:r>
      <w:proofErr w:type="spellStart"/>
      <w:r w:rsidR="00CD1E1E" w:rsidRPr="00CF5C0B">
        <w:rPr>
          <w:rFonts w:cs="Times New Roman"/>
          <w:szCs w:val="24"/>
        </w:rPr>
        <w:t>Indices</w:t>
      </w:r>
      <w:proofErr w:type="spellEnd"/>
      <w:r w:rsidR="00CD1E1E" w:rsidRPr="00CF5C0B">
        <w:rPr>
          <w:rFonts w:cs="Times New Roman"/>
          <w:szCs w:val="24"/>
        </w:rPr>
        <w:t xml:space="preserve"> (</w:t>
      </w:r>
      <w:proofErr w:type="spellStart"/>
      <w:r w:rsidR="00CD1E1E" w:rsidRPr="00CF5C0B">
        <w:rPr>
          <w:rFonts w:cs="Times New Roman"/>
          <w:szCs w:val="24"/>
        </w:rPr>
        <w:t>RPPIs</w:t>
      </w:r>
      <w:proofErr w:type="spellEnd"/>
      <w:r w:rsidR="00CD1E1E">
        <w:rPr>
          <w:rFonts w:eastAsia="MinionPro-Regular" w:cs="Times New Roman"/>
          <w:color w:val="242424"/>
          <w:szCs w:val="24"/>
        </w:rPr>
        <w:t>) elaborado pela União Europeia</w:t>
      </w:r>
      <w:r w:rsidR="00CD1E1E">
        <w:rPr>
          <w:rStyle w:val="Refdenotaderodap"/>
          <w:rFonts w:eastAsia="MinionPro-Regular" w:cs="Times New Roman"/>
          <w:color w:val="242424"/>
          <w:szCs w:val="24"/>
        </w:rPr>
        <w:footnoteReference w:id="13"/>
      </w:r>
      <w:r w:rsidR="00CD1E1E">
        <w:rPr>
          <w:rFonts w:eastAsia="MinionPro-Regular" w:cs="Times New Roman"/>
          <w:color w:val="242424"/>
          <w:szCs w:val="24"/>
        </w:rPr>
        <w:t xml:space="preserve"> é muito </w:t>
      </w:r>
      <w:r w:rsidR="003E03C6">
        <w:rPr>
          <w:rFonts w:eastAsia="MinionPro-Regular" w:cs="Times New Roman"/>
          <w:color w:val="242424"/>
          <w:szCs w:val="24"/>
        </w:rPr>
        <w:t>enfático</w:t>
      </w:r>
      <w:r w:rsidR="00CD1E1E">
        <w:rPr>
          <w:rFonts w:eastAsia="MinionPro-Regular" w:cs="Times New Roman"/>
          <w:color w:val="242424"/>
          <w:szCs w:val="24"/>
        </w:rPr>
        <w:t xml:space="preserve"> quando diz que os índices de preços de imóveis </w:t>
      </w:r>
      <w:r w:rsidR="003E03C6">
        <w:rPr>
          <w:rFonts w:eastAsia="MinionPro-Regular" w:cs="Times New Roman"/>
          <w:color w:val="242424"/>
          <w:szCs w:val="24"/>
        </w:rPr>
        <w:t xml:space="preserve">podem ter vários </w:t>
      </w:r>
      <w:r w:rsidR="00CD1E1E">
        <w:rPr>
          <w:rFonts w:eastAsia="MinionPro-Regular" w:cs="Times New Roman"/>
          <w:color w:val="242424"/>
          <w:szCs w:val="24"/>
        </w:rPr>
        <w:t>usos, e a elaboração de um índice deve levar em conta a utilização que dele será feita. Dois ou mais índices s</w:t>
      </w:r>
      <w:r w:rsidR="00A3553E">
        <w:rPr>
          <w:rFonts w:eastAsia="MinionPro-Regular" w:cs="Times New Roman"/>
          <w:color w:val="242424"/>
          <w:szCs w:val="24"/>
        </w:rPr>
        <w:t>ão complementares entre si e cada um</w:t>
      </w:r>
      <w:r w:rsidR="00086CB8">
        <w:rPr>
          <w:rFonts w:eastAsia="MinionPro-Regular" w:cs="Times New Roman"/>
          <w:color w:val="242424"/>
          <w:szCs w:val="24"/>
        </w:rPr>
        <w:t xml:space="preserve"> deles tem utilidade específica</w:t>
      </w:r>
      <w:r w:rsidR="00CD1E1E">
        <w:rPr>
          <w:rFonts w:eastAsia="MinionPro-Regular" w:cs="Times New Roman"/>
          <w:color w:val="242424"/>
          <w:szCs w:val="24"/>
        </w:rPr>
        <w:t xml:space="preserve">, </w:t>
      </w:r>
      <w:r w:rsidR="005E41BE">
        <w:rPr>
          <w:rFonts w:eastAsia="MinionPro-Regular" w:cs="Times New Roman"/>
          <w:color w:val="242424"/>
          <w:szCs w:val="24"/>
        </w:rPr>
        <w:t>e</w:t>
      </w:r>
      <w:r w:rsidR="00086CB8">
        <w:rPr>
          <w:rFonts w:eastAsia="MinionPro-Regular" w:cs="Times New Roman"/>
          <w:color w:val="242424"/>
          <w:szCs w:val="24"/>
        </w:rPr>
        <w:t xml:space="preserve"> o potencial de sinergia</w:t>
      </w:r>
      <w:r w:rsidR="00CD1E1E">
        <w:rPr>
          <w:rFonts w:eastAsia="MinionPro-Regular" w:cs="Times New Roman"/>
          <w:color w:val="242424"/>
          <w:szCs w:val="24"/>
        </w:rPr>
        <w:t xml:space="preserve"> de uma análise combinada de dois ou mais índices diferentes</w:t>
      </w:r>
      <w:r w:rsidR="00086CB8">
        <w:rPr>
          <w:rFonts w:eastAsia="MinionPro-Regular" w:cs="Times New Roman"/>
          <w:color w:val="242424"/>
          <w:szCs w:val="24"/>
        </w:rPr>
        <w:t xml:space="preserve"> para o entendimento do comportamento de preços desse mercado é enorme. </w:t>
      </w:r>
      <w:r w:rsidR="00CD1E2C">
        <w:rPr>
          <w:rFonts w:eastAsia="MinionPro-Regular" w:cs="Times New Roman"/>
          <w:color w:val="242424"/>
          <w:szCs w:val="24"/>
        </w:rPr>
        <w:t xml:space="preserve"> </w:t>
      </w:r>
    </w:p>
    <w:p w14:paraId="4A1947A8" w14:textId="3D8D94BC" w:rsidR="00A3553E" w:rsidRPr="00463A39" w:rsidRDefault="00A3553E" w:rsidP="003D44C2">
      <w:pPr>
        <w:ind w:firstLine="708"/>
        <w:rPr>
          <w:rFonts w:eastAsia="MinionPro-Regular" w:cs="Times New Roman"/>
          <w:color w:val="242424"/>
          <w:szCs w:val="24"/>
        </w:rPr>
      </w:pPr>
      <w:r w:rsidRPr="00463A39">
        <w:rPr>
          <w:rFonts w:eastAsia="MinionPro-Regular" w:cs="Times New Roman"/>
          <w:color w:val="242424"/>
          <w:szCs w:val="24"/>
        </w:rPr>
        <w:t>Sem dúvida alguma</w:t>
      </w:r>
      <w:r w:rsidR="006A60E8">
        <w:rPr>
          <w:rFonts w:eastAsia="MinionPro-Regular" w:cs="Times New Roman"/>
          <w:color w:val="242424"/>
          <w:szCs w:val="24"/>
        </w:rPr>
        <w:t>,</w:t>
      </w:r>
      <w:r w:rsidRPr="00463A39">
        <w:rPr>
          <w:rFonts w:eastAsia="MinionPro-Regular" w:cs="Times New Roman"/>
          <w:color w:val="242424"/>
          <w:szCs w:val="24"/>
        </w:rPr>
        <w:t xml:space="preserve"> os índices podem ser aprimorados, de forma a contemplar alterações </w:t>
      </w:r>
      <w:r w:rsidR="002E3DF7">
        <w:rPr>
          <w:rFonts w:eastAsia="MinionPro-Regular" w:cs="Times New Roman"/>
          <w:color w:val="242424"/>
          <w:szCs w:val="24"/>
        </w:rPr>
        <w:t xml:space="preserve">nas suas </w:t>
      </w:r>
      <w:r w:rsidR="003E03C6">
        <w:rPr>
          <w:rFonts w:eastAsia="MinionPro-Regular" w:cs="Times New Roman"/>
          <w:color w:val="242424"/>
          <w:szCs w:val="24"/>
        </w:rPr>
        <w:t xml:space="preserve">metodologias, ou de </w:t>
      </w:r>
      <w:r w:rsidR="008C617D">
        <w:rPr>
          <w:rFonts w:eastAsia="MinionPro-Regular" w:cs="Times New Roman"/>
          <w:color w:val="242424"/>
          <w:szCs w:val="24"/>
        </w:rPr>
        <w:t xml:space="preserve">melhorar o </w:t>
      </w:r>
      <w:r w:rsidR="003E03C6">
        <w:rPr>
          <w:rFonts w:eastAsia="MinionPro-Regular" w:cs="Times New Roman"/>
          <w:color w:val="242424"/>
          <w:szCs w:val="24"/>
        </w:rPr>
        <w:t>entendimento</w:t>
      </w:r>
      <w:r w:rsidR="008C617D">
        <w:rPr>
          <w:rFonts w:eastAsia="MinionPro-Regular" w:cs="Times New Roman"/>
          <w:color w:val="242424"/>
          <w:szCs w:val="24"/>
        </w:rPr>
        <w:t xml:space="preserve"> e a interpretação de seus resultados.</w:t>
      </w:r>
      <w:r w:rsidRPr="00463A39">
        <w:rPr>
          <w:rFonts w:eastAsia="MinionPro-Regular" w:cs="Times New Roman"/>
          <w:color w:val="242424"/>
          <w:szCs w:val="24"/>
        </w:rPr>
        <w:t xml:space="preserve"> É possível alisar as curvas</w:t>
      </w:r>
      <w:r>
        <w:rPr>
          <w:rFonts w:eastAsia="MinionPro-Regular" w:cs="Times New Roman"/>
          <w:color w:val="242424"/>
          <w:szCs w:val="24"/>
        </w:rPr>
        <w:t xml:space="preserve"> para consolidar tendências</w:t>
      </w:r>
      <w:r w:rsidRPr="00463A39">
        <w:rPr>
          <w:rFonts w:eastAsia="MinionPro-Regular" w:cs="Times New Roman"/>
          <w:color w:val="242424"/>
          <w:szCs w:val="24"/>
        </w:rPr>
        <w:t>, ou desalisá-las</w:t>
      </w:r>
      <w:r>
        <w:rPr>
          <w:rFonts w:eastAsia="MinionPro-Regular" w:cs="Times New Roman"/>
          <w:color w:val="242424"/>
          <w:szCs w:val="24"/>
        </w:rPr>
        <w:t>,</w:t>
      </w:r>
      <w:r w:rsidRPr="00463A39">
        <w:rPr>
          <w:rFonts w:eastAsia="MinionPro-Regular" w:cs="Times New Roman"/>
          <w:color w:val="242424"/>
          <w:szCs w:val="24"/>
        </w:rPr>
        <w:t xml:space="preserve"> para ter maior precisão no comportamento momentâneo, ou </w:t>
      </w:r>
      <w:r w:rsidR="008C617D">
        <w:rPr>
          <w:rFonts w:eastAsia="MinionPro-Regular" w:cs="Times New Roman"/>
          <w:color w:val="242424"/>
          <w:szCs w:val="24"/>
        </w:rPr>
        <w:t xml:space="preserve">ainda </w:t>
      </w:r>
      <w:r w:rsidRPr="00463A39">
        <w:rPr>
          <w:rFonts w:eastAsia="MinionPro-Regular" w:cs="Times New Roman"/>
          <w:color w:val="242424"/>
          <w:szCs w:val="24"/>
        </w:rPr>
        <w:t>para a dete</w:t>
      </w:r>
      <w:r>
        <w:rPr>
          <w:rFonts w:eastAsia="MinionPro-Regular" w:cs="Times New Roman"/>
          <w:color w:val="242424"/>
          <w:szCs w:val="24"/>
        </w:rPr>
        <w:t>c</w:t>
      </w:r>
      <w:r w:rsidRPr="00463A39">
        <w:rPr>
          <w:rFonts w:eastAsia="MinionPro-Regular" w:cs="Times New Roman"/>
          <w:color w:val="242424"/>
          <w:szCs w:val="24"/>
        </w:rPr>
        <w:t xml:space="preserve">ção de </w:t>
      </w:r>
      <w:r>
        <w:rPr>
          <w:rFonts w:eastAsia="MinionPro-Regular" w:cs="Times New Roman"/>
          <w:color w:val="242424"/>
          <w:szCs w:val="24"/>
        </w:rPr>
        <w:t>inversão de tendência</w:t>
      </w:r>
      <w:r w:rsidRPr="00463A39">
        <w:rPr>
          <w:rFonts w:eastAsia="MinionPro-Regular" w:cs="Times New Roman"/>
          <w:color w:val="242424"/>
          <w:szCs w:val="24"/>
        </w:rPr>
        <w:t xml:space="preserve">. É possível alterar a periodicidade da captura </w:t>
      </w:r>
      <w:r w:rsidR="0045598A">
        <w:rPr>
          <w:rFonts w:eastAsia="MinionPro-Regular" w:cs="Times New Roman"/>
          <w:color w:val="242424"/>
          <w:szCs w:val="24"/>
        </w:rPr>
        <w:t xml:space="preserve">e publicação </w:t>
      </w:r>
      <w:r w:rsidRPr="00463A39">
        <w:rPr>
          <w:rFonts w:eastAsia="MinionPro-Regular" w:cs="Times New Roman"/>
          <w:color w:val="242424"/>
          <w:szCs w:val="24"/>
        </w:rPr>
        <w:t>dos seus resultados, para que se compreenda melhor o que significa determinado índice, e qual a melh</w:t>
      </w:r>
      <w:r>
        <w:rPr>
          <w:rFonts w:eastAsia="MinionPro-Regular" w:cs="Times New Roman"/>
          <w:color w:val="242424"/>
          <w:szCs w:val="24"/>
        </w:rPr>
        <w:t>or</w:t>
      </w:r>
      <w:r w:rsidRPr="00463A39">
        <w:rPr>
          <w:rFonts w:eastAsia="MinionPro-Regular" w:cs="Times New Roman"/>
          <w:color w:val="242424"/>
          <w:szCs w:val="24"/>
        </w:rPr>
        <w:t xml:space="preserve"> maneira de interpretá-lo. Ou ainda, índices que capturam diferentes momentos</w:t>
      </w:r>
      <w:r w:rsidR="00781305">
        <w:rPr>
          <w:rFonts w:eastAsia="MinionPro-Regular" w:cs="Times New Roman"/>
          <w:color w:val="242424"/>
          <w:szCs w:val="24"/>
        </w:rPr>
        <w:t xml:space="preserve"> (anúncio, </w:t>
      </w:r>
      <w:r w:rsidR="00082AFB">
        <w:rPr>
          <w:rFonts w:eastAsia="MinionPro-Regular" w:cs="Times New Roman"/>
          <w:color w:val="242424"/>
          <w:szCs w:val="24"/>
        </w:rPr>
        <w:t xml:space="preserve">proposta, </w:t>
      </w:r>
      <w:r w:rsidR="00781305">
        <w:rPr>
          <w:rFonts w:eastAsia="MinionPro-Regular" w:cs="Times New Roman"/>
          <w:color w:val="242424"/>
          <w:szCs w:val="24"/>
        </w:rPr>
        <w:t>hipoteca, negócio fechado, preço real)</w:t>
      </w:r>
      <w:r w:rsidRPr="00463A39">
        <w:rPr>
          <w:rFonts w:eastAsia="MinionPro-Regular" w:cs="Times New Roman"/>
          <w:color w:val="242424"/>
          <w:szCs w:val="24"/>
        </w:rPr>
        <w:t xml:space="preserve"> </w:t>
      </w:r>
      <w:r w:rsidR="00E93038">
        <w:rPr>
          <w:rFonts w:eastAsia="MinionPro-Regular" w:cs="Times New Roman"/>
          <w:color w:val="242424"/>
          <w:szCs w:val="24"/>
        </w:rPr>
        <w:t xml:space="preserve">e formas de venda (à vista ou </w:t>
      </w:r>
      <w:proofErr w:type="gramStart"/>
      <w:r w:rsidR="00E93038">
        <w:rPr>
          <w:rFonts w:eastAsia="MinionPro-Regular" w:cs="Times New Roman"/>
          <w:color w:val="242424"/>
          <w:szCs w:val="24"/>
        </w:rPr>
        <w:t>à</w:t>
      </w:r>
      <w:proofErr w:type="gramEnd"/>
      <w:r w:rsidR="00E93038">
        <w:rPr>
          <w:rFonts w:eastAsia="MinionPro-Regular" w:cs="Times New Roman"/>
          <w:color w:val="242424"/>
          <w:szCs w:val="24"/>
        </w:rPr>
        <w:t xml:space="preserve"> prazo, na planta ou pronto, anúncio ou stand de vendas) </w:t>
      </w:r>
      <w:r w:rsidRPr="00463A39">
        <w:rPr>
          <w:rFonts w:eastAsia="MinionPro-Regular" w:cs="Times New Roman"/>
          <w:color w:val="242424"/>
          <w:szCs w:val="24"/>
        </w:rPr>
        <w:t>ou aspectos desse mercado</w:t>
      </w:r>
      <w:r w:rsidR="00082AFB">
        <w:rPr>
          <w:rFonts w:eastAsia="MinionPro-Regular" w:cs="Times New Roman"/>
          <w:color w:val="242424"/>
          <w:szCs w:val="24"/>
        </w:rPr>
        <w:t>, que devem</w:t>
      </w:r>
      <w:r w:rsidRPr="00463A39">
        <w:rPr>
          <w:rFonts w:eastAsia="MinionPro-Regular" w:cs="Times New Roman"/>
          <w:color w:val="242424"/>
          <w:szCs w:val="24"/>
        </w:rPr>
        <w:t xml:space="preserve"> ser analisados em</w:t>
      </w:r>
      <w:r w:rsidR="00082AFB">
        <w:rPr>
          <w:rFonts w:eastAsia="MinionPro-Regular" w:cs="Times New Roman"/>
          <w:color w:val="242424"/>
          <w:szCs w:val="24"/>
        </w:rPr>
        <w:t xml:space="preserve"> seu </w:t>
      </w:r>
      <w:r w:rsidRPr="00463A39">
        <w:rPr>
          <w:rFonts w:eastAsia="MinionPro-Regular" w:cs="Times New Roman"/>
          <w:color w:val="242424"/>
          <w:szCs w:val="24"/>
        </w:rPr>
        <w:t xml:space="preserve">conjunto, e os resultados dessa análise podem contribuir para </w:t>
      </w:r>
      <w:r>
        <w:rPr>
          <w:rFonts w:eastAsia="MinionPro-Regular" w:cs="Times New Roman"/>
          <w:color w:val="242424"/>
          <w:szCs w:val="24"/>
        </w:rPr>
        <w:t>o</w:t>
      </w:r>
      <w:r w:rsidRPr="00463A39">
        <w:rPr>
          <w:rFonts w:eastAsia="MinionPro-Regular" w:cs="Times New Roman"/>
          <w:color w:val="242424"/>
          <w:szCs w:val="24"/>
        </w:rPr>
        <w:t xml:space="preserve"> entendimento</w:t>
      </w:r>
      <w:r>
        <w:rPr>
          <w:rFonts w:eastAsia="MinionPro-Regular" w:cs="Times New Roman"/>
          <w:color w:val="242424"/>
          <w:szCs w:val="24"/>
        </w:rPr>
        <w:t xml:space="preserve"> do funcionamento do mercado</w:t>
      </w:r>
      <w:r w:rsidRPr="00463A39">
        <w:rPr>
          <w:rFonts w:eastAsia="MinionPro-Regular" w:cs="Times New Roman"/>
          <w:color w:val="242424"/>
          <w:szCs w:val="24"/>
        </w:rPr>
        <w:t xml:space="preserve">, </w:t>
      </w:r>
      <w:r>
        <w:rPr>
          <w:rFonts w:eastAsia="MinionPro-Regular" w:cs="Times New Roman"/>
          <w:color w:val="242424"/>
          <w:szCs w:val="24"/>
        </w:rPr>
        <w:t xml:space="preserve">para </w:t>
      </w:r>
      <w:r w:rsidRPr="00463A39">
        <w:rPr>
          <w:rFonts w:eastAsia="MinionPro-Regular" w:cs="Times New Roman"/>
          <w:color w:val="242424"/>
          <w:szCs w:val="24"/>
        </w:rPr>
        <w:t>a melhor utilização</w:t>
      </w:r>
      <w:r>
        <w:rPr>
          <w:rFonts w:eastAsia="MinionPro-Regular" w:cs="Times New Roman"/>
          <w:color w:val="242424"/>
          <w:szCs w:val="24"/>
        </w:rPr>
        <w:t xml:space="preserve"> d</w:t>
      </w:r>
      <w:r w:rsidR="00082AFB">
        <w:rPr>
          <w:rFonts w:eastAsia="MinionPro-Regular" w:cs="Times New Roman"/>
          <w:color w:val="242424"/>
          <w:szCs w:val="24"/>
        </w:rPr>
        <w:t xml:space="preserve">e um </w:t>
      </w:r>
      <w:r>
        <w:rPr>
          <w:rFonts w:eastAsia="MinionPro-Regular" w:cs="Times New Roman"/>
          <w:color w:val="242424"/>
          <w:szCs w:val="24"/>
        </w:rPr>
        <w:t>índice</w:t>
      </w:r>
      <w:r w:rsidRPr="00463A39">
        <w:rPr>
          <w:rFonts w:eastAsia="MinionPro-Regular" w:cs="Times New Roman"/>
          <w:color w:val="242424"/>
          <w:szCs w:val="24"/>
        </w:rPr>
        <w:t xml:space="preserve">, </w:t>
      </w:r>
      <w:r>
        <w:rPr>
          <w:rFonts w:eastAsia="MinionPro-Regular" w:cs="Times New Roman"/>
          <w:color w:val="242424"/>
          <w:szCs w:val="24"/>
        </w:rPr>
        <w:t xml:space="preserve">ou para </w:t>
      </w:r>
      <w:r w:rsidR="00A41657">
        <w:rPr>
          <w:rFonts w:eastAsia="MinionPro-Regular" w:cs="Times New Roman"/>
          <w:color w:val="242424"/>
          <w:szCs w:val="24"/>
        </w:rPr>
        <w:t xml:space="preserve">melhor compreensão </w:t>
      </w:r>
      <w:r w:rsidR="00D239CD">
        <w:rPr>
          <w:rFonts w:eastAsia="MinionPro-Regular" w:cs="Times New Roman"/>
          <w:color w:val="242424"/>
          <w:szCs w:val="24"/>
        </w:rPr>
        <w:t xml:space="preserve">de </w:t>
      </w:r>
      <w:r w:rsidRPr="00463A39">
        <w:rPr>
          <w:rFonts w:eastAsia="MinionPro-Regular" w:cs="Times New Roman"/>
          <w:color w:val="242424"/>
          <w:szCs w:val="24"/>
        </w:rPr>
        <w:t>suas limitações.</w:t>
      </w:r>
    </w:p>
    <w:p w14:paraId="5ADBFD5C" w14:textId="29502AB2" w:rsidR="0034751C" w:rsidRDefault="0034751C" w:rsidP="00CD0FEF">
      <w:pPr>
        <w:ind w:firstLine="708"/>
        <w:rPr>
          <w:szCs w:val="24"/>
        </w:rPr>
      </w:pPr>
      <w:r>
        <w:rPr>
          <w:szCs w:val="24"/>
        </w:rPr>
        <w:lastRenderedPageBreak/>
        <w:t xml:space="preserve">As ferramentas estatísticas que medem a evolução dos preços dos imóveis ainda são escassas e precisam evoluir. Isto vale para todo os países. Mesmo aqueles países que já tem seus índices, </w:t>
      </w:r>
      <w:r w:rsidR="005E41BE">
        <w:rPr>
          <w:szCs w:val="24"/>
        </w:rPr>
        <w:t xml:space="preserve">precisam </w:t>
      </w:r>
      <w:r>
        <w:rPr>
          <w:szCs w:val="24"/>
        </w:rPr>
        <w:t>avaliar per</w:t>
      </w:r>
      <w:r w:rsidR="005E41BE">
        <w:rPr>
          <w:szCs w:val="24"/>
        </w:rPr>
        <w:t xml:space="preserve">iodicamente </w:t>
      </w:r>
      <w:r>
        <w:rPr>
          <w:szCs w:val="24"/>
        </w:rPr>
        <w:t>a precisão desses indicadores, e, quando possível</w:t>
      </w:r>
      <w:r w:rsidR="00A41657">
        <w:rPr>
          <w:szCs w:val="24"/>
        </w:rPr>
        <w:t>, ou necessário</w:t>
      </w:r>
      <w:r>
        <w:rPr>
          <w:szCs w:val="24"/>
        </w:rPr>
        <w:t xml:space="preserve">, reformulá-los. </w:t>
      </w:r>
      <w:r w:rsidR="00DD0271">
        <w:rPr>
          <w:szCs w:val="24"/>
        </w:rPr>
        <w:t>É</w:t>
      </w:r>
      <w:r>
        <w:rPr>
          <w:szCs w:val="24"/>
        </w:rPr>
        <w:t xml:space="preserve"> necessário que </w:t>
      </w:r>
      <w:r w:rsidR="00A41657">
        <w:rPr>
          <w:szCs w:val="24"/>
        </w:rPr>
        <w:t xml:space="preserve">novos </w:t>
      </w:r>
      <w:r>
        <w:rPr>
          <w:szCs w:val="24"/>
        </w:rPr>
        <w:t>índices sejam estruturados aproveitando a experiência dos países</w:t>
      </w:r>
      <w:r w:rsidR="00DD0271">
        <w:rPr>
          <w:szCs w:val="24"/>
        </w:rPr>
        <w:t xml:space="preserve"> que já os tem</w:t>
      </w:r>
      <w:r>
        <w:rPr>
          <w:szCs w:val="24"/>
        </w:rPr>
        <w:t xml:space="preserve">, e que isto seja feito tendo a clareza necessária sobre a finalidade </w:t>
      </w:r>
      <w:r w:rsidR="00A41657">
        <w:rPr>
          <w:szCs w:val="24"/>
        </w:rPr>
        <w:t>que esse índice pretende atender</w:t>
      </w:r>
      <w:r>
        <w:rPr>
          <w:szCs w:val="24"/>
        </w:rPr>
        <w:t>.</w:t>
      </w:r>
      <w:r w:rsidR="00585285">
        <w:rPr>
          <w:szCs w:val="24"/>
        </w:rPr>
        <w:t xml:space="preserve"> Para isso </w:t>
      </w:r>
      <w:r w:rsidR="00C63845">
        <w:rPr>
          <w:szCs w:val="24"/>
        </w:rPr>
        <w:t xml:space="preserve">aquele </w:t>
      </w:r>
      <w:r w:rsidR="00585285">
        <w:rPr>
          <w:szCs w:val="24"/>
        </w:rPr>
        <w:t xml:space="preserve">documento da União </w:t>
      </w:r>
      <w:r w:rsidR="008C617D">
        <w:rPr>
          <w:szCs w:val="24"/>
        </w:rPr>
        <w:t>Europe</w:t>
      </w:r>
      <w:r w:rsidR="002B43CC">
        <w:rPr>
          <w:szCs w:val="24"/>
        </w:rPr>
        <w:t>ia</w:t>
      </w:r>
      <w:r w:rsidR="00585285">
        <w:rPr>
          <w:szCs w:val="24"/>
        </w:rPr>
        <w:t xml:space="preserve"> é extremamente valioso.</w:t>
      </w:r>
      <w:r w:rsidR="00585285">
        <w:rPr>
          <w:rStyle w:val="Refdenotaderodap"/>
          <w:szCs w:val="24"/>
        </w:rPr>
        <w:footnoteReference w:id="14"/>
      </w:r>
    </w:p>
    <w:p w14:paraId="4A51E077" w14:textId="1D2C25A9" w:rsidR="001A5A51" w:rsidRDefault="0034751C" w:rsidP="00CD0FEF">
      <w:pPr>
        <w:ind w:firstLine="708"/>
        <w:rPr>
          <w:szCs w:val="24"/>
        </w:rPr>
      </w:pPr>
      <w:r>
        <w:rPr>
          <w:szCs w:val="24"/>
        </w:rPr>
        <w:t xml:space="preserve">A outra conclusão importante é que mesmo tendo índices bem estruturados, ainda assim há dois problemas muito grandes </w:t>
      </w:r>
      <w:r w:rsidR="00C63845">
        <w:rPr>
          <w:szCs w:val="24"/>
        </w:rPr>
        <w:t xml:space="preserve">para os </w:t>
      </w:r>
      <w:r w:rsidRPr="00595606">
        <w:rPr>
          <w:i/>
          <w:szCs w:val="24"/>
        </w:rPr>
        <w:t>policy makers</w:t>
      </w:r>
      <w:r>
        <w:rPr>
          <w:szCs w:val="24"/>
        </w:rPr>
        <w:t xml:space="preserve">: </w:t>
      </w:r>
    </w:p>
    <w:p w14:paraId="5444F3DE" w14:textId="6E7CB41D" w:rsidR="001A5A51" w:rsidRDefault="001A5A51" w:rsidP="00CD0FEF">
      <w:pPr>
        <w:ind w:firstLine="708"/>
        <w:rPr>
          <w:szCs w:val="24"/>
        </w:rPr>
      </w:pPr>
      <w:r>
        <w:rPr>
          <w:szCs w:val="24"/>
        </w:rPr>
        <w:t>1 – É</w:t>
      </w:r>
      <w:r w:rsidR="0034751C">
        <w:rPr>
          <w:szCs w:val="24"/>
        </w:rPr>
        <w:t xml:space="preserve"> muito difícil estabelecer a diferença entre o que seja um aumento razoável </w:t>
      </w:r>
      <w:r w:rsidR="007778B9">
        <w:rPr>
          <w:szCs w:val="24"/>
        </w:rPr>
        <w:t xml:space="preserve">de preços, </w:t>
      </w:r>
      <w:r w:rsidR="0034751C">
        <w:rPr>
          <w:szCs w:val="24"/>
        </w:rPr>
        <w:t xml:space="preserve">do que seja um aumento excessivo de preços dos imóveis, de forma a </w:t>
      </w:r>
      <w:r w:rsidR="00DD0271">
        <w:rPr>
          <w:szCs w:val="24"/>
        </w:rPr>
        <w:t xml:space="preserve">ensejar </w:t>
      </w:r>
      <w:r w:rsidR="0034751C">
        <w:rPr>
          <w:szCs w:val="24"/>
        </w:rPr>
        <w:t>medidas destinadas a reduzir a demanda desses ativos.</w:t>
      </w:r>
    </w:p>
    <w:p w14:paraId="44939E05" w14:textId="36460A6A" w:rsidR="0034751C" w:rsidRDefault="001A5A51" w:rsidP="00CD0FEF">
      <w:pPr>
        <w:ind w:firstLine="708"/>
        <w:rPr>
          <w:szCs w:val="24"/>
        </w:rPr>
      </w:pPr>
      <w:r>
        <w:rPr>
          <w:szCs w:val="24"/>
        </w:rPr>
        <w:t xml:space="preserve">2 – </w:t>
      </w:r>
      <w:r w:rsidR="0034751C">
        <w:rPr>
          <w:szCs w:val="24"/>
        </w:rPr>
        <w:t>Outro problema é como coordenar as políticas econômica e monetária, uma vez que os índices de preços de imóveis e os índices de inflação de bens e serviços podem estar se movimentando em direções opostas, ou na mesma direção, porém com intensidades diferentes</w:t>
      </w:r>
      <w:r w:rsidR="00A13EA0">
        <w:rPr>
          <w:szCs w:val="24"/>
        </w:rPr>
        <w:t>, podendo sinalizar medidas igualmente contraditórias</w:t>
      </w:r>
      <w:r w:rsidR="0034751C">
        <w:rPr>
          <w:szCs w:val="24"/>
        </w:rPr>
        <w:t>.</w:t>
      </w:r>
    </w:p>
    <w:p w14:paraId="700405BD" w14:textId="5BA929D9" w:rsidR="00724CE0" w:rsidRDefault="00724CE0" w:rsidP="00CD0FEF">
      <w:pPr>
        <w:rPr>
          <w:szCs w:val="24"/>
        </w:rPr>
      </w:pPr>
    </w:p>
    <w:p w14:paraId="546E2B04" w14:textId="5EC90050" w:rsidR="00137B5D" w:rsidRPr="00A103A2" w:rsidRDefault="00724CE0" w:rsidP="00CD0FEF">
      <w:pPr>
        <w:rPr>
          <w:b/>
          <w:szCs w:val="24"/>
          <w:u w:val="single"/>
        </w:rPr>
      </w:pPr>
      <w:r w:rsidRPr="00A103A2">
        <w:rPr>
          <w:b/>
          <w:szCs w:val="24"/>
          <w:u w:val="single"/>
        </w:rPr>
        <w:t xml:space="preserve">6 </w:t>
      </w:r>
      <w:r w:rsidR="00483E19" w:rsidRPr="00A103A2">
        <w:rPr>
          <w:b/>
          <w:szCs w:val="24"/>
          <w:u w:val="single"/>
        </w:rPr>
        <w:t>–</w:t>
      </w:r>
      <w:r w:rsidRPr="00A103A2">
        <w:rPr>
          <w:b/>
          <w:szCs w:val="24"/>
          <w:u w:val="single"/>
        </w:rPr>
        <w:t xml:space="preserve"> REFERÊNCIAS</w:t>
      </w:r>
    </w:p>
    <w:p w14:paraId="1545B55F" w14:textId="77777777" w:rsidR="00E85083" w:rsidRDefault="00E85083" w:rsidP="00E85083">
      <w:pPr>
        <w:autoSpaceDE w:val="0"/>
        <w:autoSpaceDN w:val="0"/>
        <w:adjustRightInd w:val="0"/>
        <w:rPr>
          <w:rStyle w:val="Hyperlink"/>
          <w:rFonts w:cs="Times New Roman"/>
          <w:szCs w:val="24"/>
        </w:rPr>
      </w:pPr>
      <w:r w:rsidRPr="00036270">
        <w:rPr>
          <w:rFonts w:cs="Times New Roman"/>
          <w:szCs w:val="24"/>
        </w:rPr>
        <w:t xml:space="preserve">Banco Central do Brasil – </w:t>
      </w:r>
      <w:r>
        <w:rPr>
          <w:rFonts w:cs="Times New Roman"/>
          <w:szCs w:val="24"/>
        </w:rPr>
        <w:t>Relató</w:t>
      </w:r>
      <w:r w:rsidRPr="00036270">
        <w:rPr>
          <w:rFonts w:cs="Times New Roman"/>
          <w:szCs w:val="24"/>
        </w:rPr>
        <w:t xml:space="preserve">rio de Estabilidade Financeira – Setembro 2013 </w:t>
      </w:r>
      <w:hyperlink r:id="rId18" w:history="1">
        <w:r w:rsidRPr="00C12F0C">
          <w:rPr>
            <w:rStyle w:val="Hyperlink"/>
            <w:rFonts w:cs="Times New Roman"/>
            <w:szCs w:val="24"/>
          </w:rPr>
          <w:t>https://www.bcb.gov.br/?RELESTAB201309</w:t>
        </w:r>
      </w:hyperlink>
    </w:p>
    <w:p w14:paraId="2E4BA9A5" w14:textId="77777777" w:rsidR="00E85083" w:rsidRDefault="00E85083" w:rsidP="00E85083">
      <w:pPr>
        <w:autoSpaceDE w:val="0"/>
        <w:autoSpaceDN w:val="0"/>
        <w:adjustRightInd w:val="0"/>
        <w:rPr>
          <w:rStyle w:val="Hyperlink"/>
          <w:rFonts w:cs="Times New Roman"/>
          <w:szCs w:val="24"/>
        </w:rPr>
      </w:pPr>
    </w:p>
    <w:p w14:paraId="27B7F842" w14:textId="77777777" w:rsidR="00E85083" w:rsidRDefault="00E85083" w:rsidP="00E85083">
      <w:pPr>
        <w:autoSpaceDE w:val="0"/>
        <w:autoSpaceDN w:val="0"/>
        <w:adjustRightInd w:val="0"/>
        <w:rPr>
          <w:rFonts w:cs="Times New Roman"/>
          <w:szCs w:val="24"/>
        </w:rPr>
      </w:pPr>
      <w:r w:rsidRPr="00036270">
        <w:rPr>
          <w:rFonts w:cs="Times New Roman"/>
          <w:szCs w:val="24"/>
        </w:rPr>
        <w:t>Banco Central do Brasil</w:t>
      </w:r>
      <w:r>
        <w:rPr>
          <w:rFonts w:cs="Times New Roman"/>
          <w:szCs w:val="24"/>
        </w:rPr>
        <w:t xml:space="preserve"> - </w:t>
      </w:r>
      <w:r w:rsidRPr="00A63341">
        <w:rPr>
          <w:rFonts w:cs="Times New Roman"/>
          <w:szCs w:val="24"/>
        </w:rPr>
        <w:t>SCR - Sistema de Informações de Crédito</w:t>
      </w:r>
    </w:p>
    <w:p w14:paraId="57BBC33B" w14:textId="77777777" w:rsidR="00E85083" w:rsidRDefault="004767A3" w:rsidP="00E85083">
      <w:pPr>
        <w:autoSpaceDE w:val="0"/>
        <w:autoSpaceDN w:val="0"/>
        <w:adjustRightInd w:val="0"/>
      </w:pPr>
      <w:hyperlink r:id="rId19" w:history="1">
        <w:r w:rsidR="00E85083" w:rsidRPr="003B3AA2">
          <w:rPr>
            <w:rStyle w:val="Hyperlink"/>
          </w:rPr>
          <w:t>http://www.bcb.gov.br/?scr</w:t>
        </w:r>
      </w:hyperlink>
    </w:p>
    <w:p w14:paraId="593DA4AB" w14:textId="77777777" w:rsidR="00E85083" w:rsidRPr="00A9222C" w:rsidRDefault="00E85083" w:rsidP="00276FA1">
      <w:pPr>
        <w:autoSpaceDE w:val="0"/>
        <w:autoSpaceDN w:val="0"/>
        <w:adjustRightInd w:val="0"/>
        <w:rPr>
          <w:rFonts w:cs="Times New Roman"/>
          <w:szCs w:val="24"/>
        </w:rPr>
      </w:pPr>
    </w:p>
    <w:p w14:paraId="7D732F0B" w14:textId="3807BFDA" w:rsidR="009D5B74" w:rsidRPr="00276FA1" w:rsidRDefault="009D5B74" w:rsidP="00276FA1">
      <w:pPr>
        <w:autoSpaceDE w:val="0"/>
        <w:autoSpaceDN w:val="0"/>
        <w:adjustRightInd w:val="0"/>
        <w:rPr>
          <w:rFonts w:cs="Times New Roman"/>
          <w:szCs w:val="24"/>
          <w:lang w:val="en-US"/>
        </w:rPr>
      </w:pPr>
      <w:r>
        <w:rPr>
          <w:rFonts w:cs="Times New Roman"/>
          <w:szCs w:val="24"/>
          <w:lang w:val="en-US"/>
        </w:rPr>
        <w:t xml:space="preserve">Bank for International Settlements – BIS Papers nº 21 – Real Estate Indicators and </w:t>
      </w:r>
      <w:r w:rsidRPr="00276FA1">
        <w:rPr>
          <w:rFonts w:cs="Times New Roman"/>
          <w:szCs w:val="24"/>
          <w:lang w:val="en-US"/>
        </w:rPr>
        <w:t>Financial Stability</w:t>
      </w:r>
      <w:r w:rsidR="00276FA1" w:rsidRPr="00276FA1">
        <w:rPr>
          <w:rFonts w:cs="Times New Roman"/>
          <w:szCs w:val="24"/>
          <w:lang w:val="en-US"/>
        </w:rPr>
        <w:t xml:space="preserve"> - Proceedings of a joint conference </w:t>
      </w:r>
      <w:proofErr w:type="spellStart"/>
      <w:r w:rsidR="00276FA1" w:rsidRPr="00276FA1">
        <w:rPr>
          <w:rFonts w:cs="Times New Roman"/>
          <w:szCs w:val="24"/>
          <w:lang w:val="en-US"/>
        </w:rPr>
        <w:t>organised</w:t>
      </w:r>
      <w:proofErr w:type="spellEnd"/>
      <w:r w:rsidR="00276FA1" w:rsidRPr="00276FA1">
        <w:rPr>
          <w:rFonts w:cs="Times New Roman"/>
          <w:szCs w:val="24"/>
          <w:lang w:val="en-US"/>
        </w:rPr>
        <w:t xml:space="preserve"> by the BIS and the IMF in Washington DC, 27–28 October 2003</w:t>
      </w:r>
    </w:p>
    <w:p w14:paraId="601DF5F5" w14:textId="36530985" w:rsidR="00483E19" w:rsidRDefault="004767A3" w:rsidP="00CD0FEF">
      <w:pPr>
        <w:rPr>
          <w:rStyle w:val="Hyperlink"/>
          <w:lang w:val="en-US"/>
        </w:rPr>
      </w:pPr>
      <w:hyperlink r:id="rId20" w:history="1">
        <w:r w:rsidR="00483E19" w:rsidRPr="003B64AF">
          <w:rPr>
            <w:rStyle w:val="Hyperlink"/>
            <w:lang w:val="en-US"/>
          </w:rPr>
          <w:t>https://www.bis.org/publ/bppdf/bispap21.htm</w:t>
        </w:r>
      </w:hyperlink>
    </w:p>
    <w:p w14:paraId="702619B5" w14:textId="77777777" w:rsidR="0071612E" w:rsidRDefault="0071612E" w:rsidP="00CD0FEF">
      <w:pPr>
        <w:rPr>
          <w:rStyle w:val="Hyperlink"/>
          <w:lang w:val="en-US"/>
        </w:rPr>
      </w:pPr>
    </w:p>
    <w:p w14:paraId="00B538A2" w14:textId="04EADED8" w:rsidR="0071612E" w:rsidRPr="004D2DD5" w:rsidRDefault="0071612E" w:rsidP="004D2DD5">
      <w:pPr>
        <w:autoSpaceDE w:val="0"/>
        <w:autoSpaceDN w:val="0"/>
        <w:adjustRightInd w:val="0"/>
        <w:rPr>
          <w:rFonts w:cs="Times New Roman"/>
          <w:szCs w:val="24"/>
          <w:lang w:val="en-US"/>
        </w:rPr>
      </w:pPr>
      <w:r w:rsidRPr="004D2DD5">
        <w:rPr>
          <w:rFonts w:cs="Times New Roman"/>
          <w:szCs w:val="24"/>
          <w:lang w:val="en-US"/>
        </w:rPr>
        <w:t xml:space="preserve">Eurostat - </w:t>
      </w:r>
      <w:r w:rsidR="004D2DD5" w:rsidRPr="004D2DD5">
        <w:rPr>
          <w:rFonts w:cs="Times New Roman"/>
          <w:szCs w:val="24"/>
          <w:lang w:val="en-US"/>
        </w:rPr>
        <w:t>Handbook on Residential</w:t>
      </w:r>
      <w:r w:rsidR="004D2DD5">
        <w:rPr>
          <w:rFonts w:cs="Times New Roman"/>
          <w:szCs w:val="24"/>
          <w:lang w:val="en-US"/>
        </w:rPr>
        <w:t xml:space="preserve"> </w:t>
      </w:r>
      <w:r w:rsidR="004D2DD5" w:rsidRPr="004D2DD5">
        <w:rPr>
          <w:rFonts w:cs="Times New Roman"/>
          <w:szCs w:val="24"/>
          <w:lang w:val="en-US"/>
        </w:rPr>
        <w:t>Property Prices Indices (RPPIs)</w:t>
      </w:r>
      <w:r w:rsidR="00F77CE2" w:rsidRPr="004D2DD5">
        <w:rPr>
          <w:rFonts w:cs="Times New Roman"/>
          <w:szCs w:val="24"/>
          <w:lang w:val="en-US"/>
        </w:rPr>
        <w:t xml:space="preserve"> </w:t>
      </w:r>
      <w:proofErr w:type="gramStart"/>
      <w:r w:rsidR="00F77CE2" w:rsidRPr="004D2DD5">
        <w:rPr>
          <w:rFonts w:cs="Times New Roman"/>
          <w:szCs w:val="24"/>
          <w:lang w:val="en-US"/>
        </w:rPr>
        <w:t>2013</w:t>
      </w:r>
      <w:r w:rsidR="004E68D8" w:rsidRPr="004D2DD5">
        <w:rPr>
          <w:rFonts w:cs="Times New Roman"/>
          <w:szCs w:val="24"/>
          <w:lang w:val="en-US"/>
        </w:rPr>
        <w:t xml:space="preserve">  -</w:t>
      </w:r>
      <w:proofErr w:type="gramEnd"/>
      <w:r w:rsidR="004E68D8" w:rsidRPr="004D2DD5">
        <w:rPr>
          <w:rFonts w:cs="Times New Roman"/>
          <w:szCs w:val="24"/>
          <w:lang w:val="en-US"/>
        </w:rPr>
        <w:t xml:space="preserve"> </w:t>
      </w:r>
      <w:hyperlink r:id="rId21" w:history="1">
        <w:r w:rsidR="004E68D8" w:rsidRPr="004D2DD5">
          <w:rPr>
            <w:rStyle w:val="Hyperlink"/>
            <w:rFonts w:cs="Times New Roman"/>
            <w:szCs w:val="24"/>
            <w:lang w:val="en-US"/>
          </w:rPr>
          <w:t>http://ec.europa.eu/eurostat/documents/3859598/5925925/KS-RA-12-022-EN.PDF</w:t>
        </w:r>
      </w:hyperlink>
    </w:p>
    <w:p w14:paraId="29E008E3" w14:textId="77777777" w:rsidR="004E68D8" w:rsidRDefault="004E68D8" w:rsidP="0071612E">
      <w:pPr>
        <w:autoSpaceDE w:val="0"/>
        <w:autoSpaceDN w:val="0"/>
        <w:adjustRightInd w:val="0"/>
        <w:rPr>
          <w:rFonts w:cs="Times New Roman"/>
          <w:szCs w:val="24"/>
          <w:lang w:val="en-US"/>
        </w:rPr>
      </w:pPr>
    </w:p>
    <w:p w14:paraId="382A7194" w14:textId="77777777" w:rsidR="00E85083" w:rsidRPr="004D0A7E" w:rsidRDefault="00E85083" w:rsidP="00E85083">
      <w:pPr>
        <w:pStyle w:val="Default"/>
      </w:pPr>
      <w:r w:rsidRPr="00CE5E05">
        <w:rPr>
          <w:color w:val="auto"/>
        </w:rPr>
        <w:t>FIPE - Índice Fipe</w:t>
      </w:r>
      <w:r>
        <w:rPr>
          <w:color w:val="auto"/>
        </w:rPr>
        <w:t>-</w:t>
      </w:r>
      <w:r w:rsidRPr="00CE5E05">
        <w:rPr>
          <w:color w:val="auto"/>
        </w:rPr>
        <w:t xml:space="preserve">Zap de Preços de Imóveis Anunciados -  </w:t>
      </w:r>
      <w:r>
        <w:rPr>
          <w:color w:val="auto"/>
        </w:rPr>
        <w:t>N</w:t>
      </w:r>
      <w:r w:rsidRPr="00CE5E05">
        <w:rPr>
          <w:color w:val="auto"/>
        </w:rPr>
        <w:t xml:space="preserve">otas metodológicas (atualização) </w:t>
      </w:r>
      <w:r>
        <w:rPr>
          <w:color w:val="auto"/>
        </w:rPr>
        <w:t xml:space="preserve"> S. Paulo, F</w:t>
      </w:r>
      <w:r w:rsidRPr="00CE5E05">
        <w:t>evereiro/2014</w:t>
      </w:r>
      <w:r>
        <w:rPr>
          <w:b/>
          <w:bCs/>
          <w:sz w:val="23"/>
          <w:szCs w:val="23"/>
        </w:rPr>
        <w:t xml:space="preserve"> </w:t>
      </w:r>
      <w:hyperlink r:id="rId22" w:history="1">
        <w:r w:rsidRPr="004D0A7E">
          <w:rPr>
            <w:rStyle w:val="Hyperlink"/>
          </w:rPr>
          <w:t>http://www.fipe.org.br/Content/downloads/indices/fipezap/metodologia/FipeZAP_RevMetodologia_v20140218.pdf</w:t>
        </w:r>
      </w:hyperlink>
    </w:p>
    <w:p w14:paraId="4F540445" w14:textId="77777777" w:rsidR="00E85083" w:rsidRPr="00A9222C" w:rsidRDefault="00E85083" w:rsidP="00E85083">
      <w:pPr>
        <w:outlineLvl w:val="0"/>
        <w:rPr>
          <w:rFonts w:cs="Times New Roman"/>
          <w:szCs w:val="24"/>
        </w:rPr>
      </w:pPr>
    </w:p>
    <w:p w14:paraId="080E9869" w14:textId="1BACB4A6" w:rsidR="000D44A6" w:rsidRPr="000D44A6" w:rsidRDefault="000D44A6" w:rsidP="00E85083">
      <w:pPr>
        <w:outlineLvl w:val="0"/>
        <w:rPr>
          <w:rFonts w:cs="Times New Roman"/>
          <w:szCs w:val="24"/>
          <w:lang w:val="en-US"/>
        </w:rPr>
      </w:pPr>
      <w:bookmarkStart w:id="17" w:name="_Toc424741962"/>
      <w:r w:rsidRPr="000D44A6">
        <w:rPr>
          <w:rFonts w:cs="Times New Roman"/>
          <w:szCs w:val="24"/>
          <w:lang w:val="en-US"/>
        </w:rPr>
        <w:t xml:space="preserve">HP Filters and business cycles </w:t>
      </w:r>
      <w:r>
        <w:rPr>
          <w:rFonts w:cs="Times New Roman"/>
          <w:szCs w:val="24"/>
          <w:lang w:val="en-US"/>
        </w:rPr>
        <w:t>–</w:t>
      </w:r>
      <w:r w:rsidRPr="000D44A6">
        <w:rPr>
          <w:rFonts w:cs="Times New Roman"/>
          <w:szCs w:val="24"/>
          <w:lang w:val="en-US"/>
        </w:rPr>
        <w:t xml:space="preserve"> B</w:t>
      </w:r>
      <w:r>
        <w:rPr>
          <w:rFonts w:cs="Times New Roman"/>
          <w:szCs w:val="24"/>
          <w:lang w:val="en-US"/>
        </w:rPr>
        <w:t>log Review</w:t>
      </w:r>
      <w:bookmarkEnd w:id="17"/>
    </w:p>
    <w:p w14:paraId="3533ABD1" w14:textId="33D8D265" w:rsidR="000D44A6" w:rsidRPr="000D44A6" w:rsidRDefault="004767A3" w:rsidP="00E85083">
      <w:pPr>
        <w:autoSpaceDE w:val="0"/>
        <w:autoSpaceDN w:val="0"/>
        <w:adjustRightInd w:val="0"/>
        <w:rPr>
          <w:lang w:val="en-US"/>
        </w:rPr>
      </w:pPr>
      <w:hyperlink r:id="rId23" w:history="1">
        <w:r w:rsidR="000D44A6" w:rsidRPr="000D44A6">
          <w:rPr>
            <w:rStyle w:val="Hyperlink"/>
            <w:lang w:val="en-US"/>
          </w:rPr>
          <w:t>http://www.bruegel.org/nc/blog/detail/article/849-blogs-review-hp-filters-and-business-cycles/</w:t>
        </w:r>
      </w:hyperlink>
    </w:p>
    <w:p w14:paraId="7ADECC58" w14:textId="77777777" w:rsidR="004D0A7E" w:rsidRPr="00A9222C" w:rsidRDefault="004D0A7E" w:rsidP="004D0A7E">
      <w:pPr>
        <w:pStyle w:val="Textodenotaderodap"/>
        <w:rPr>
          <w:lang w:val="en-US"/>
        </w:rPr>
      </w:pPr>
    </w:p>
    <w:p w14:paraId="24266EDA" w14:textId="501D6C8B" w:rsidR="007A3D34" w:rsidRPr="007A3D34" w:rsidRDefault="007A3D34" w:rsidP="004D0A7E">
      <w:pPr>
        <w:pStyle w:val="Textodenotaderodap"/>
        <w:rPr>
          <w:sz w:val="24"/>
        </w:rPr>
      </w:pPr>
      <w:r w:rsidRPr="007A3D34">
        <w:rPr>
          <w:sz w:val="24"/>
        </w:rPr>
        <w:t>SECOVI - Balanço do Mercado Imobiliário 2014</w:t>
      </w:r>
    </w:p>
    <w:p w14:paraId="1C57DFCB" w14:textId="03B747B9" w:rsidR="00276FA1" w:rsidRPr="007A3D34" w:rsidRDefault="004767A3" w:rsidP="004D0A7E">
      <w:pPr>
        <w:pStyle w:val="Textodenotaderodap"/>
      </w:pPr>
      <w:hyperlink r:id="rId24" w:history="1">
        <w:r w:rsidR="00276FA1" w:rsidRPr="003B3AA2">
          <w:rPr>
            <w:rStyle w:val="Hyperlink"/>
          </w:rPr>
          <w:t>http://www.secovi.com.br/files/Downloads/balanco-do-mercado-imobiliario-2014-v2pdf.pdf</w:t>
        </w:r>
      </w:hyperlink>
    </w:p>
    <w:p w14:paraId="48099230" w14:textId="77777777" w:rsidR="004D0A7E" w:rsidRDefault="004D0A7E" w:rsidP="00952CEA">
      <w:pPr>
        <w:autoSpaceDE w:val="0"/>
        <w:autoSpaceDN w:val="0"/>
        <w:adjustRightInd w:val="0"/>
        <w:rPr>
          <w:rFonts w:cs="Times New Roman"/>
          <w:szCs w:val="24"/>
        </w:rPr>
      </w:pPr>
    </w:p>
    <w:p w14:paraId="3C3D0CD2" w14:textId="77777777" w:rsidR="003F1145" w:rsidRDefault="003F1145" w:rsidP="00952CEA">
      <w:pPr>
        <w:autoSpaceDE w:val="0"/>
        <w:autoSpaceDN w:val="0"/>
        <w:adjustRightInd w:val="0"/>
        <w:rPr>
          <w:rFonts w:cs="Times New Roman"/>
          <w:szCs w:val="24"/>
        </w:rPr>
      </w:pPr>
    </w:p>
    <w:p w14:paraId="0D21BB3E" w14:textId="77777777" w:rsidR="003F1145" w:rsidRDefault="003F1145" w:rsidP="00952CEA">
      <w:pPr>
        <w:autoSpaceDE w:val="0"/>
        <w:autoSpaceDN w:val="0"/>
        <w:adjustRightInd w:val="0"/>
        <w:rPr>
          <w:rFonts w:cs="Times New Roman"/>
          <w:szCs w:val="24"/>
        </w:rPr>
      </w:pPr>
    </w:p>
    <w:p w14:paraId="62190307" w14:textId="77777777" w:rsidR="003F1145" w:rsidRDefault="003F1145" w:rsidP="00952CEA">
      <w:pPr>
        <w:autoSpaceDE w:val="0"/>
        <w:autoSpaceDN w:val="0"/>
        <w:adjustRightInd w:val="0"/>
        <w:rPr>
          <w:rFonts w:cs="Times New Roman"/>
          <w:szCs w:val="24"/>
        </w:rPr>
      </w:pPr>
    </w:p>
    <w:p w14:paraId="749604A6" w14:textId="77777777" w:rsidR="003F1145" w:rsidRDefault="003F1145" w:rsidP="00952CEA">
      <w:pPr>
        <w:autoSpaceDE w:val="0"/>
        <w:autoSpaceDN w:val="0"/>
        <w:adjustRightInd w:val="0"/>
        <w:rPr>
          <w:rFonts w:cs="Times New Roman"/>
          <w:szCs w:val="24"/>
        </w:rPr>
      </w:pPr>
    </w:p>
    <w:p w14:paraId="3A3D3DBB" w14:textId="77777777" w:rsidR="003F1145" w:rsidRDefault="003F1145" w:rsidP="00952CEA">
      <w:pPr>
        <w:autoSpaceDE w:val="0"/>
        <w:autoSpaceDN w:val="0"/>
        <w:adjustRightInd w:val="0"/>
        <w:rPr>
          <w:rFonts w:cs="Times New Roman"/>
          <w:szCs w:val="24"/>
        </w:rPr>
      </w:pPr>
    </w:p>
    <w:p w14:paraId="5A75F849" w14:textId="77777777" w:rsidR="003F1145" w:rsidRDefault="003F1145" w:rsidP="00952CEA">
      <w:pPr>
        <w:autoSpaceDE w:val="0"/>
        <w:autoSpaceDN w:val="0"/>
        <w:adjustRightInd w:val="0"/>
        <w:rPr>
          <w:rFonts w:cs="Times New Roman"/>
          <w:szCs w:val="24"/>
        </w:rPr>
      </w:pPr>
    </w:p>
    <w:p w14:paraId="7AC3020D" w14:textId="77777777" w:rsidR="003F1145" w:rsidRDefault="003F1145" w:rsidP="00952CEA">
      <w:pPr>
        <w:autoSpaceDE w:val="0"/>
        <w:autoSpaceDN w:val="0"/>
        <w:adjustRightInd w:val="0"/>
        <w:rPr>
          <w:rFonts w:cs="Times New Roman"/>
          <w:szCs w:val="24"/>
        </w:rPr>
      </w:pPr>
    </w:p>
    <w:p w14:paraId="26329E64" w14:textId="77777777" w:rsidR="003F1145" w:rsidRDefault="003F1145" w:rsidP="00952CEA">
      <w:pPr>
        <w:autoSpaceDE w:val="0"/>
        <w:autoSpaceDN w:val="0"/>
        <w:adjustRightInd w:val="0"/>
        <w:rPr>
          <w:rFonts w:cs="Times New Roman"/>
          <w:szCs w:val="24"/>
        </w:rPr>
      </w:pPr>
    </w:p>
    <w:p w14:paraId="7EF32AEE" w14:textId="77777777" w:rsidR="003F1145" w:rsidRDefault="003F1145" w:rsidP="00952CEA">
      <w:pPr>
        <w:autoSpaceDE w:val="0"/>
        <w:autoSpaceDN w:val="0"/>
        <w:adjustRightInd w:val="0"/>
        <w:rPr>
          <w:rFonts w:cs="Times New Roman"/>
          <w:szCs w:val="24"/>
        </w:rPr>
      </w:pPr>
    </w:p>
    <w:p w14:paraId="51C2ED0A" w14:textId="77777777" w:rsidR="003F1145" w:rsidRDefault="003F1145" w:rsidP="00952CEA">
      <w:pPr>
        <w:autoSpaceDE w:val="0"/>
        <w:autoSpaceDN w:val="0"/>
        <w:adjustRightInd w:val="0"/>
        <w:rPr>
          <w:rFonts w:cs="Times New Roman"/>
          <w:szCs w:val="24"/>
        </w:rPr>
      </w:pPr>
    </w:p>
    <w:p w14:paraId="3E0C66C9" w14:textId="77777777" w:rsidR="003F1145" w:rsidRDefault="003F1145" w:rsidP="00952CEA">
      <w:pPr>
        <w:autoSpaceDE w:val="0"/>
        <w:autoSpaceDN w:val="0"/>
        <w:adjustRightInd w:val="0"/>
        <w:rPr>
          <w:rFonts w:cs="Times New Roman"/>
          <w:szCs w:val="24"/>
        </w:rPr>
      </w:pPr>
    </w:p>
    <w:sdt>
      <w:sdtPr>
        <w:rPr>
          <w:rFonts w:ascii="Times New Roman" w:eastAsiaTheme="minorHAnsi" w:hAnsi="Times New Roman" w:cstheme="minorBidi"/>
          <w:b w:val="0"/>
          <w:bCs w:val="0"/>
          <w:color w:val="auto"/>
          <w:sz w:val="24"/>
          <w:szCs w:val="22"/>
          <w:lang w:eastAsia="en-US"/>
        </w:rPr>
        <w:id w:val="-894124424"/>
        <w:docPartObj>
          <w:docPartGallery w:val="Table of Contents"/>
          <w:docPartUnique/>
        </w:docPartObj>
      </w:sdtPr>
      <w:sdtEndPr/>
      <w:sdtContent>
        <w:p w14:paraId="6C192224" w14:textId="1E98C216" w:rsidR="003F1145" w:rsidRPr="002A6884" w:rsidRDefault="003F1145">
          <w:pPr>
            <w:pStyle w:val="CabealhodoSumrio"/>
            <w:rPr>
              <w:rFonts w:ascii="Times New Roman" w:hAnsi="Times New Roman" w:cs="Times New Roman"/>
              <w:color w:val="auto"/>
            </w:rPr>
          </w:pPr>
          <w:r w:rsidRPr="002A6884">
            <w:rPr>
              <w:rFonts w:ascii="Times New Roman" w:hAnsi="Times New Roman" w:cs="Times New Roman"/>
              <w:color w:val="auto"/>
            </w:rPr>
            <w:t>Sumário</w:t>
          </w:r>
        </w:p>
        <w:p w14:paraId="364509F2" w14:textId="77777777" w:rsidR="00850D9B" w:rsidRDefault="003F1145">
          <w:pPr>
            <w:pStyle w:val="Sumrio1"/>
            <w:tabs>
              <w:tab w:val="left" w:pos="480"/>
              <w:tab w:val="right" w:leader="dot" w:pos="8948"/>
            </w:tabs>
            <w:rPr>
              <w:rFonts w:asciiTheme="minorHAnsi" w:eastAsiaTheme="minorEastAsia" w:hAnsiTheme="minorHAnsi"/>
              <w:noProof/>
              <w:sz w:val="22"/>
              <w:lang w:eastAsia="pt-BR"/>
            </w:rPr>
          </w:pPr>
          <w:r>
            <w:fldChar w:fldCharType="begin"/>
          </w:r>
          <w:r>
            <w:instrText xml:space="preserve"> TOC \o "1-3" \h \z \u </w:instrText>
          </w:r>
          <w:r>
            <w:fldChar w:fldCharType="separate"/>
          </w:r>
          <w:hyperlink w:anchor="_Toc424741946" w:history="1">
            <w:r w:rsidR="00850D9B" w:rsidRPr="00677238">
              <w:rPr>
                <w:rStyle w:val="Hyperlink"/>
                <w:b/>
                <w:noProof/>
              </w:rPr>
              <w:t>1.</w:t>
            </w:r>
            <w:r w:rsidR="00850D9B">
              <w:rPr>
                <w:rFonts w:asciiTheme="minorHAnsi" w:eastAsiaTheme="minorEastAsia" w:hAnsiTheme="minorHAnsi"/>
                <w:noProof/>
                <w:sz w:val="22"/>
                <w:lang w:eastAsia="pt-BR"/>
              </w:rPr>
              <w:tab/>
            </w:r>
            <w:r w:rsidR="00850D9B" w:rsidRPr="00677238">
              <w:rPr>
                <w:rStyle w:val="Hyperlink"/>
                <w:b/>
                <w:noProof/>
              </w:rPr>
              <w:t>INTRODUÇÃO - SOBRE A IMPORTÂNCIA DOS ÍNDICES DE PREÇOS DE IMÓVEIS.</w:t>
            </w:r>
            <w:r w:rsidR="00850D9B">
              <w:rPr>
                <w:noProof/>
                <w:webHidden/>
              </w:rPr>
              <w:tab/>
            </w:r>
            <w:r w:rsidR="00850D9B">
              <w:rPr>
                <w:noProof/>
                <w:webHidden/>
              </w:rPr>
              <w:fldChar w:fldCharType="begin"/>
            </w:r>
            <w:r w:rsidR="00850D9B">
              <w:rPr>
                <w:noProof/>
                <w:webHidden/>
              </w:rPr>
              <w:instrText xml:space="preserve"> PAGEREF _Toc424741946 \h </w:instrText>
            </w:r>
            <w:r w:rsidR="00850D9B">
              <w:rPr>
                <w:noProof/>
                <w:webHidden/>
              </w:rPr>
            </w:r>
            <w:r w:rsidR="00850D9B">
              <w:rPr>
                <w:noProof/>
                <w:webHidden/>
              </w:rPr>
              <w:fldChar w:fldCharType="separate"/>
            </w:r>
            <w:r w:rsidR="002A6884">
              <w:rPr>
                <w:noProof/>
                <w:webHidden/>
              </w:rPr>
              <w:t>1</w:t>
            </w:r>
            <w:r w:rsidR="00850D9B">
              <w:rPr>
                <w:noProof/>
                <w:webHidden/>
              </w:rPr>
              <w:fldChar w:fldCharType="end"/>
            </w:r>
          </w:hyperlink>
        </w:p>
        <w:p w14:paraId="119B61EF" w14:textId="77777777" w:rsidR="00850D9B" w:rsidRDefault="004767A3">
          <w:pPr>
            <w:pStyle w:val="Sumrio2"/>
            <w:tabs>
              <w:tab w:val="right" w:leader="dot" w:pos="8948"/>
            </w:tabs>
            <w:rPr>
              <w:rFonts w:asciiTheme="minorHAnsi" w:eastAsiaTheme="minorEastAsia" w:hAnsiTheme="minorHAnsi"/>
              <w:noProof/>
              <w:sz w:val="22"/>
              <w:lang w:eastAsia="pt-BR"/>
            </w:rPr>
          </w:pPr>
          <w:hyperlink w:anchor="_Toc424741947" w:history="1">
            <w:r w:rsidR="00850D9B" w:rsidRPr="00677238">
              <w:rPr>
                <w:rStyle w:val="Hyperlink"/>
                <w:rFonts w:cs="Times New Roman"/>
                <w:noProof/>
              </w:rPr>
              <w:t>1.1 - Medição</w:t>
            </w:r>
            <w:r w:rsidR="00850D9B">
              <w:rPr>
                <w:noProof/>
                <w:webHidden/>
              </w:rPr>
              <w:tab/>
            </w:r>
            <w:r w:rsidR="00850D9B">
              <w:rPr>
                <w:noProof/>
                <w:webHidden/>
              </w:rPr>
              <w:fldChar w:fldCharType="begin"/>
            </w:r>
            <w:r w:rsidR="00850D9B">
              <w:rPr>
                <w:noProof/>
                <w:webHidden/>
              </w:rPr>
              <w:instrText xml:space="preserve"> PAGEREF _Toc424741947 \h </w:instrText>
            </w:r>
            <w:r w:rsidR="00850D9B">
              <w:rPr>
                <w:noProof/>
                <w:webHidden/>
              </w:rPr>
            </w:r>
            <w:r w:rsidR="00850D9B">
              <w:rPr>
                <w:noProof/>
                <w:webHidden/>
              </w:rPr>
              <w:fldChar w:fldCharType="separate"/>
            </w:r>
            <w:r w:rsidR="002A6884">
              <w:rPr>
                <w:noProof/>
                <w:webHidden/>
              </w:rPr>
              <w:t>1</w:t>
            </w:r>
            <w:r w:rsidR="00850D9B">
              <w:rPr>
                <w:noProof/>
                <w:webHidden/>
              </w:rPr>
              <w:fldChar w:fldCharType="end"/>
            </w:r>
          </w:hyperlink>
        </w:p>
        <w:p w14:paraId="1108B936" w14:textId="77777777" w:rsidR="00850D9B" w:rsidRDefault="004767A3">
          <w:pPr>
            <w:pStyle w:val="Sumrio1"/>
            <w:tabs>
              <w:tab w:val="left" w:pos="480"/>
              <w:tab w:val="right" w:leader="dot" w:pos="8948"/>
            </w:tabs>
            <w:rPr>
              <w:rFonts w:asciiTheme="minorHAnsi" w:eastAsiaTheme="minorEastAsia" w:hAnsiTheme="minorHAnsi"/>
              <w:noProof/>
              <w:sz w:val="22"/>
              <w:lang w:eastAsia="pt-BR"/>
            </w:rPr>
          </w:pPr>
          <w:hyperlink w:anchor="_Toc424741948" w:history="1">
            <w:r w:rsidR="00850D9B" w:rsidRPr="00677238">
              <w:rPr>
                <w:rStyle w:val="Hyperlink"/>
                <w:b/>
                <w:noProof/>
              </w:rPr>
              <w:t>2.</w:t>
            </w:r>
            <w:r w:rsidR="00850D9B">
              <w:rPr>
                <w:rFonts w:asciiTheme="minorHAnsi" w:eastAsiaTheme="minorEastAsia" w:hAnsiTheme="minorHAnsi"/>
                <w:noProof/>
                <w:sz w:val="22"/>
                <w:lang w:eastAsia="pt-BR"/>
              </w:rPr>
              <w:tab/>
            </w:r>
            <w:r w:rsidR="00850D9B" w:rsidRPr="00677238">
              <w:rPr>
                <w:rStyle w:val="Hyperlink"/>
                <w:b/>
                <w:noProof/>
              </w:rPr>
              <w:t>METODOLOGIA</w:t>
            </w:r>
            <w:r w:rsidR="00850D9B">
              <w:rPr>
                <w:noProof/>
                <w:webHidden/>
              </w:rPr>
              <w:tab/>
            </w:r>
            <w:r w:rsidR="00850D9B">
              <w:rPr>
                <w:noProof/>
                <w:webHidden/>
              </w:rPr>
              <w:fldChar w:fldCharType="begin"/>
            </w:r>
            <w:r w:rsidR="00850D9B">
              <w:rPr>
                <w:noProof/>
                <w:webHidden/>
              </w:rPr>
              <w:instrText xml:space="preserve"> PAGEREF _Toc424741948 \h </w:instrText>
            </w:r>
            <w:r w:rsidR="00850D9B">
              <w:rPr>
                <w:noProof/>
                <w:webHidden/>
              </w:rPr>
            </w:r>
            <w:r w:rsidR="00850D9B">
              <w:rPr>
                <w:noProof/>
                <w:webHidden/>
              </w:rPr>
              <w:fldChar w:fldCharType="separate"/>
            </w:r>
            <w:r w:rsidR="002A6884">
              <w:rPr>
                <w:noProof/>
                <w:webHidden/>
              </w:rPr>
              <w:t>3</w:t>
            </w:r>
            <w:r w:rsidR="00850D9B">
              <w:rPr>
                <w:noProof/>
                <w:webHidden/>
              </w:rPr>
              <w:fldChar w:fldCharType="end"/>
            </w:r>
          </w:hyperlink>
        </w:p>
        <w:p w14:paraId="16B6069D" w14:textId="77777777" w:rsidR="00850D9B" w:rsidRDefault="004767A3">
          <w:pPr>
            <w:pStyle w:val="Sumrio1"/>
            <w:tabs>
              <w:tab w:val="left" w:pos="480"/>
              <w:tab w:val="right" w:leader="dot" w:pos="8948"/>
            </w:tabs>
            <w:rPr>
              <w:rFonts w:asciiTheme="minorHAnsi" w:eastAsiaTheme="minorEastAsia" w:hAnsiTheme="minorHAnsi"/>
              <w:noProof/>
              <w:sz w:val="22"/>
              <w:lang w:eastAsia="pt-BR"/>
            </w:rPr>
          </w:pPr>
          <w:hyperlink w:anchor="_Toc424741949" w:history="1">
            <w:r w:rsidR="00850D9B" w:rsidRPr="00677238">
              <w:rPr>
                <w:rStyle w:val="Hyperlink"/>
                <w:b/>
                <w:noProof/>
              </w:rPr>
              <w:t>3.</w:t>
            </w:r>
            <w:r w:rsidR="00850D9B">
              <w:rPr>
                <w:rFonts w:asciiTheme="minorHAnsi" w:eastAsiaTheme="minorEastAsia" w:hAnsiTheme="minorHAnsi"/>
                <w:noProof/>
                <w:sz w:val="22"/>
                <w:lang w:eastAsia="pt-BR"/>
              </w:rPr>
              <w:tab/>
            </w:r>
            <w:r w:rsidR="00850D9B" w:rsidRPr="00677238">
              <w:rPr>
                <w:rStyle w:val="Hyperlink"/>
                <w:b/>
                <w:noProof/>
              </w:rPr>
              <w:t>DISCUSSÃO</w:t>
            </w:r>
            <w:r w:rsidR="00850D9B">
              <w:rPr>
                <w:noProof/>
                <w:webHidden/>
              </w:rPr>
              <w:tab/>
            </w:r>
            <w:r w:rsidR="00850D9B">
              <w:rPr>
                <w:noProof/>
                <w:webHidden/>
              </w:rPr>
              <w:fldChar w:fldCharType="begin"/>
            </w:r>
            <w:r w:rsidR="00850D9B">
              <w:rPr>
                <w:noProof/>
                <w:webHidden/>
              </w:rPr>
              <w:instrText xml:space="preserve"> PAGEREF _Toc424741949 \h </w:instrText>
            </w:r>
            <w:r w:rsidR="00850D9B">
              <w:rPr>
                <w:noProof/>
                <w:webHidden/>
              </w:rPr>
            </w:r>
            <w:r w:rsidR="00850D9B">
              <w:rPr>
                <w:noProof/>
                <w:webHidden/>
              </w:rPr>
              <w:fldChar w:fldCharType="separate"/>
            </w:r>
            <w:r w:rsidR="002A6884">
              <w:rPr>
                <w:noProof/>
                <w:webHidden/>
              </w:rPr>
              <w:t>3</w:t>
            </w:r>
            <w:r w:rsidR="00850D9B">
              <w:rPr>
                <w:noProof/>
                <w:webHidden/>
              </w:rPr>
              <w:fldChar w:fldCharType="end"/>
            </w:r>
          </w:hyperlink>
        </w:p>
        <w:p w14:paraId="60287F23" w14:textId="77777777" w:rsidR="00850D9B" w:rsidRDefault="004767A3">
          <w:pPr>
            <w:pStyle w:val="Sumrio2"/>
            <w:tabs>
              <w:tab w:val="right" w:leader="dot" w:pos="8948"/>
            </w:tabs>
            <w:rPr>
              <w:rFonts w:asciiTheme="minorHAnsi" w:eastAsiaTheme="minorEastAsia" w:hAnsiTheme="minorHAnsi"/>
              <w:noProof/>
              <w:sz w:val="22"/>
              <w:lang w:eastAsia="pt-BR"/>
            </w:rPr>
          </w:pPr>
          <w:hyperlink w:anchor="_Toc424741950" w:history="1">
            <w:r w:rsidR="00850D9B" w:rsidRPr="00677238">
              <w:rPr>
                <w:rStyle w:val="Hyperlink"/>
                <w:noProof/>
              </w:rPr>
              <w:t>3.1 O CICLO IMOBILIÁRIO E AS CRISES ECONÔMICAS</w:t>
            </w:r>
            <w:r w:rsidR="00850D9B">
              <w:rPr>
                <w:noProof/>
                <w:webHidden/>
              </w:rPr>
              <w:tab/>
            </w:r>
            <w:r w:rsidR="00850D9B">
              <w:rPr>
                <w:noProof/>
                <w:webHidden/>
              </w:rPr>
              <w:fldChar w:fldCharType="begin"/>
            </w:r>
            <w:r w:rsidR="00850D9B">
              <w:rPr>
                <w:noProof/>
                <w:webHidden/>
              </w:rPr>
              <w:instrText xml:space="preserve"> PAGEREF _Toc424741950 \h </w:instrText>
            </w:r>
            <w:r w:rsidR="00850D9B">
              <w:rPr>
                <w:noProof/>
                <w:webHidden/>
              </w:rPr>
            </w:r>
            <w:r w:rsidR="00850D9B">
              <w:rPr>
                <w:noProof/>
                <w:webHidden/>
              </w:rPr>
              <w:fldChar w:fldCharType="separate"/>
            </w:r>
            <w:r w:rsidR="002A6884">
              <w:rPr>
                <w:noProof/>
                <w:webHidden/>
              </w:rPr>
              <w:t>4</w:t>
            </w:r>
            <w:r w:rsidR="00850D9B">
              <w:rPr>
                <w:noProof/>
                <w:webHidden/>
              </w:rPr>
              <w:fldChar w:fldCharType="end"/>
            </w:r>
          </w:hyperlink>
        </w:p>
        <w:p w14:paraId="0CA25435" w14:textId="77777777" w:rsidR="00850D9B" w:rsidRDefault="004767A3">
          <w:pPr>
            <w:pStyle w:val="Sumrio2"/>
            <w:tabs>
              <w:tab w:val="right" w:leader="dot" w:pos="8948"/>
            </w:tabs>
            <w:rPr>
              <w:rFonts w:asciiTheme="minorHAnsi" w:eastAsiaTheme="minorEastAsia" w:hAnsiTheme="minorHAnsi"/>
              <w:noProof/>
              <w:sz w:val="22"/>
              <w:lang w:eastAsia="pt-BR"/>
            </w:rPr>
          </w:pPr>
          <w:hyperlink w:anchor="_Toc424741951" w:history="1">
            <w:r w:rsidR="00850D9B" w:rsidRPr="00677238">
              <w:rPr>
                <w:rStyle w:val="Hyperlink"/>
                <w:rFonts w:cs="Times New Roman"/>
                <w:noProof/>
              </w:rPr>
              <w:t>3.2 Contribuição do setor financeiro para o ciclo imobiliário</w:t>
            </w:r>
            <w:r w:rsidR="00850D9B">
              <w:rPr>
                <w:noProof/>
                <w:webHidden/>
              </w:rPr>
              <w:tab/>
            </w:r>
            <w:r w:rsidR="00850D9B">
              <w:rPr>
                <w:noProof/>
                <w:webHidden/>
              </w:rPr>
              <w:fldChar w:fldCharType="begin"/>
            </w:r>
            <w:r w:rsidR="00850D9B">
              <w:rPr>
                <w:noProof/>
                <w:webHidden/>
              </w:rPr>
              <w:instrText xml:space="preserve"> PAGEREF _Toc424741951 \h </w:instrText>
            </w:r>
            <w:r w:rsidR="00850D9B">
              <w:rPr>
                <w:noProof/>
                <w:webHidden/>
              </w:rPr>
            </w:r>
            <w:r w:rsidR="00850D9B">
              <w:rPr>
                <w:noProof/>
                <w:webHidden/>
              </w:rPr>
              <w:fldChar w:fldCharType="separate"/>
            </w:r>
            <w:r w:rsidR="002A6884">
              <w:rPr>
                <w:noProof/>
                <w:webHidden/>
              </w:rPr>
              <w:t>5</w:t>
            </w:r>
            <w:r w:rsidR="00850D9B">
              <w:rPr>
                <w:noProof/>
                <w:webHidden/>
              </w:rPr>
              <w:fldChar w:fldCharType="end"/>
            </w:r>
          </w:hyperlink>
        </w:p>
        <w:p w14:paraId="4A853DB6" w14:textId="77777777" w:rsidR="00850D9B" w:rsidRDefault="004767A3">
          <w:pPr>
            <w:pStyle w:val="Sumrio2"/>
            <w:tabs>
              <w:tab w:val="right" w:leader="dot" w:pos="8948"/>
            </w:tabs>
            <w:rPr>
              <w:rFonts w:asciiTheme="minorHAnsi" w:eastAsiaTheme="minorEastAsia" w:hAnsiTheme="minorHAnsi"/>
              <w:noProof/>
              <w:sz w:val="22"/>
              <w:lang w:eastAsia="pt-BR"/>
            </w:rPr>
          </w:pPr>
          <w:hyperlink w:anchor="_Toc424741952" w:history="1">
            <w:r w:rsidR="00850D9B" w:rsidRPr="00677238">
              <w:rPr>
                <w:rStyle w:val="Hyperlink"/>
                <w:rFonts w:eastAsia="Times New Roman" w:cs="Times New Roman"/>
                <w:noProof/>
                <w:lang w:val="pt-PT" w:eastAsia="pt-BR"/>
              </w:rPr>
              <w:t>3.3 Desafios para as autoridades monetárias</w:t>
            </w:r>
            <w:r w:rsidR="00850D9B">
              <w:rPr>
                <w:noProof/>
                <w:webHidden/>
              </w:rPr>
              <w:tab/>
            </w:r>
            <w:r w:rsidR="00850D9B">
              <w:rPr>
                <w:noProof/>
                <w:webHidden/>
              </w:rPr>
              <w:fldChar w:fldCharType="begin"/>
            </w:r>
            <w:r w:rsidR="00850D9B">
              <w:rPr>
                <w:noProof/>
                <w:webHidden/>
              </w:rPr>
              <w:instrText xml:space="preserve"> PAGEREF _Toc424741952 \h </w:instrText>
            </w:r>
            <w:r w:rsidR="00850D9B">
              <w:rPr>
                <w:noProof/>
                <w:webHidden/>
              </w:rPr>
            </w:r>
            <w:r w:rsidR="00850D9B">
              <w:rPr>
                <w:noProof/>
                <w:webHidden/>
              </w:rPr>
              <w:fldChar w:fldCharType="separate"/>
            </w:r>
            <w:r w:rsidR="002A6884">
              <w:rPr>
                <w:noProof/>
                <w:webHidden/>
              </w:rPr>
              <w:t>6</w:t>
            </w:r>
            <w:r w:rsidR="00850D9B">
              <w:rPr>
                <w:noProof/>
                <w:webHidden/>
              </w:rPr>
              <w:fldChar w:fldCharType="end"/>
            </w:r>
          </w:hyperlink>
        </w:p>
        <w:p w14:paraId="749D3B64" w14:textId="77777777" w:rsidR="00850D9B" w:rsidRDefault="004767A3">
          <w:pPr>
            <w:pStyle w:val="Sumrio1"/>
            <w:tabs>
              <w:tab w:val="left" w:pos="480"/>
              <w:tab w:val="right" w:leader="dot" w:pos="8948"/>
            </w:tabs>
            <w:rPr>
              <w:rFonts w:asciiTheme="minorHAnsi" w:eastAsiaTheme="minorEastAsia" w:hAnsiTheme="minorHAnsi"/>
              <w:noProof/>
              <w:sz w:val="22"/>
              <w:lang w:eastAsia="pt-BR"/>
            </w:rPr>
          </w:pPr>
          <w:hyperlink w:anchor="_Toc424741953" w:history="1">
            <w:r w:rsidR="00850D9B" w:rsidRPr="00677238">
              <w:rPr>
                <w:rStyle w:val="Hyperlink"/>
                <w:b/>
                <w:noProof/>
              </w:rPr>
              <w:t>4.</w:t>
            </w:r>
            <w:r w:rsidR="00850D9B">
              <w:rPr>
                <w:rFonts w:asciiTheme="minorHAnsi" w:eastAsiaTheme="minorEastAsia" w:hAnsiTheme="minorHAnsi"/>
                <w:noProof/>
                <w:sz w:val="22"/>
                <w:lang w:eastAsia="pt-BR"/>
              </w:rPr>
              <w:tab/>
            </w:r>
            <w:r w:rsidR="00850D9B" w:rsidRPr="00677238">
              <w:rPr>
                <w:rStyle w:val="Hyperlink"/>
                <w:b/>
                <w:noProof/>
              </w:rPr>
              <w:t>OS ÍNDICES DE PREÇOS DE IMÓVEIS DO BRASIL</w:t>
            </w:r>
            <w:r w:rsidR="00850D9B">
              <w:rPr>
                <w:noProof/>
                <w:webHidden/>
              </w:rPr>
              <w:tab/>
            </w:r>
            <w:r w:rsidR="00850D9B">
              <w:rPr>
                <w:noProof/>
                <w:webHidden/>
              </w:rPr>
              <w:fldChar w:fldCharType="begin"/>
            </w:r>
            <w:r w:rsidR="00850D9B">
              <w:rPr>
                <w:noProof/>
                <w:webHidden/>
              </w:rPr>
              <w:instrText xml:space="preserve"> PAGEREF _Toc424741953 \h </w:instrText>
            </w:r>
            <w:r w:rsidR="00850D9B">
              <w:rPr>
                <w:noProof/>
                <w:webHidden/>
              </w:rPr>
            </w:r>
            <w:r w:rsidR="00850D9B">
              <w:rPr>
                <w:noProof/>
                <w:webHidden/>
              </w:rPr>
              <w:fldChar w:fldCharType="separate"/>
            </w:r>
            <w:r w:rsidR="002A6884">
              <w:rPr>
                <w:noProof/>
                <w:webHidden/>
              </w:rPr>
              <w:t>8</w:t>
            </w:r>
            <w:r w:rsidR="00850D9B">
              <w:rPr>
                <w:noProof/>
                <w:webHidden/>
              </w:rPr>
              <w:fldChar w:fldCharType="end"/>
            </w:r>
          </w:hyperlink>
        </w:p>
        <w:p w14:paraId="4EFC6815" w14:textId="77777777" w:rsidR="00850D9B" w:rsidRDefault="004767A3">
          <w:pPr>
            <w:pStyle w:val="Sumrio2"/>
            <w:tabs>
              <w:tab w:val="right" w:leader="dot" w:pos="8948"/>
            </w:tabs>
            <w:rPr>
              <w:rFonts w:asciiTheme="minorHAnsi" w:eastAsiaTheme="minorEastAsia" w:hAnsiTheme="minorHAnsi"/>
              <w:noProof/>
              <w:sz w:val="22"/>
              <w:lang w:eastAsia="pt-BR"/>
            </w:rPr>
          </w:pPr>
          <w:hyperlink w:anchor="_Toc424741954" w:history="1">
            <w:r w:rsidR="00850D9B" w:rsidRPr="00677238">
              <w:rPr>
                <w:rStyle w:val="Hyperlink"/>
                <w:noProof/>
              </w:rPr>
              <w:t>4.1 IVG-R do Banco Central</w:t>
            </w:r>
            <w:r w:rsidR="00850D9B">
              <w:rPr>
                <w:noProof/>
                <w:webHidden/>
              </w:rPr>
              <w:tab/>
            </w:r>
            <w:r w:rsidR="00850D9B">
              <w:rPr>
                <w:noProof/>
                <w:webHidden/>
              </w:rPr>
              <w:fldChar w:fldCharType="begin"/>
            </w:r>
            <w:r w:rsidR="00850D9B">
              <w:rPr>
                <w:noProof/>
                <w:webHidden/>
              </w:rPr>
              <w:instrText xml:space="preserve"> PAGEREF _Toc424741954 \h </w:instrText>
            </w:r>
            <w:r w:rsidR="00850D9B">
              <w:rPr>
                <w:noProof/>
                <w:webHidden/>
              </w:rPr>
            </w:r>
            <w:r w:rsidR="00850D9B">
              <w:rPr>
                <w:noProof/>
                <w:webHidden/>
              </w:rPr>
              <w:fldChar w:fldCharType="separate"/>
            </w:r>
            <w:r w:rsidR="002A6884">
              <w:rPr>
                <w:noProof/>
                <w:webHidden/>
              </w:rPr>
              <w:t>8</w:t>
            </w:r>
            <w:r w:rsidR="00850D9B">
              <w:rPr>
                <w:noProof/>
                <w:webHidden/>
              </w:rPr>
              <w:fldChar w:fldCharType="end"/>
            </w:r>
          </w:hyperlink>
        </w:p>
        <w:p w14:paraId="4431D81A" w14:textId="77777777" w:rsidR="00850D9B" w:rsidRDefault="004767A3">
          <w:pPr>
            <w:pStyle w:val="Sumrio3"/>
            <w:tabs>
              <w:tab w:val="right" w:leader="dot" w:pos="8948"/>
            </w:tabs>
            <w:rPr>
              <w:rFonts w:asciiTheme="minorHAnsi" w:eastAsiaTheme="minorEastAsia" w:hAnsiTheme="minorHAnsi"/>
              <w:noProof/>
              <w:sz w:val="22"/>
              <w:lang w:eastAsia="pt-BR"/>
            </w:rPr>
          </w:pPr>
          <w:hyperlink w:anchor="_Toc424741955" w:history="1">
            <w:r w:rsidR="00850D9B" w:rsidRPr="00677238">
              <w:rPr>
                <w:rStyle w:val="Hyperlink"/>
                <w:noProof/>
              </w:rPr>
              <w:t>4.1.1 Qualidades e pontos críticos</w:t>
            </w:r>
            <w:r w:rsidR="00850D9B">
              <w:rPr>
                <w:noProof/>
                <w:webHidden/>
              </w:rPr>
              <w:tab/>
            </w:r>
            <w:r w:rsidR="00850D9B">
              <w:rPr>
                <w:noProof/>
                <w:webHidden/>
              </w:rPr>
              <w:fldChar w:fldCharType="begin"/>
            </w:r>
            <w:r w:rsidR="00850D9B">
              <w:rPr>
                <w:noProof/>
                <w:webHidden/>
              </w:rPr>
              <w:instrText xml:space="preserve"> PAGEREF _Toc424741955 \h </w:instrText>
            </w:r>
            <w:r w:rsidR="00850D9B">
              <w:rPr>
                <w:noProof/>
                <w:webHidden/>
              </w:rPr>
            </w:r>
            <w:r w:rsidR="00850D9B">
              <w:rPr>
                <w:noProof/>
                <w:webHidden/>
              </w:rPr>
              <w:fldChar w:fldCharType="separate"/>
            </w:r>
            <w:r w:rsidR="002A6884">
              <w:rPr>
                <w:noProof/>
                <w:webHidden/>
              </w:rPr>
              <w:t>9</w:t>
            </w:r>
            <w:r w:rsidR="00850D9B">
              <w:rPr>
                <w:noProof/>
                <w:webHidden/>
              </w:rPr>
              <w:fldChar w:fldCharType="end"/>
            </w:r>
          </w:hyperlink>
        </w:p>
        <w:p w14:paraId="473C3B8E" w14:textId="77777777" w:rsidR="00850D9B" w:rsidRDefault="004767A3">
          <w:pPr>
            <w:pStyle w:val="Sumrio2"/>
            <w:tabs>
              <w:tab w:val="right" w:leader="dot" w:pos="8948"/>
            </w:tabs>
            <w:rPr>
              <w:rFonts w:asciiTheme="minorHAnsi" w:eastAsiaTheme="minorEastAsia" w:hAnsiTheme="minorHAnsi"/>
              <w:noProof/>
              <w:sz w:val="22"/>
              <w:lang w:eastAsia="pt-BR"/>
            </w:rPr>
          </w:pPr>
          <w:hyperlink w:anchor="_Toc424741956" w:history="1">
            <w:r w:rsidR="00850D9B" w:rsidRPr="00677238">
              <w:rPr>
                <w:rStyle w:val="Hyperlink"/>
                <w:noProof/>
              </w:rPr>
              <w:t>4.2.  O Índice FIPE-Zap</w:t>
            </w:r>
            <w:r w:rsidR="00850D9B">
              <w:rPr>
                <w:noProof/>
                <w:webHidden/>
              </w:rPr>
              <w:tab/>
            </w:r>
            <w:r w:rsidR="00850D9B">
              <w:rPr>
                <w:noProof/>
                <w:webHidden/>
              </w:rPr>
              <w:fldChar w:fldCharType="begin"/>
            </w:r>
            <w:r w:rsidR="00850D9B">
              <w:rPr>
                <w:noProof/>
                <w:webHidden/>
              </w:rPr>
              <w:instrText xml:space="preserve"> PAGEREF _Toc424741956 \h </w:instrText>
            </w:r>
            <w:r w:rsidR="00850D9B">
              <w:rPr>
                <w:noProof/>
                <w:webHidden/>
              </w:rPr>
            </w:r>
            <w:r w:rsidR="00850D9B">
              <w:rPr>
                <w:noProof/>
                <w:webHidden/>
              </w:rPr>
              <w:fldChar w:fldCharType="separate"/>
            </w:r>
            <w:r w:rsidR="002A6884">
              <w:rPr>
                <w:noProof/>
                <w:webHidden/>
              </w:rPr>
              <w:t>10</w:t>
            </w:r>
            <w:r w:rsidR="00850D9B">
              <w:rPr>
                <w:noProof/>
                <w:webHidden/>
              </w:rPr>
              <w:fldChar w:fldCharType="end"/>
            </w:r>
          </w:hyperlink>
        </w:p>
        <w:p w14:paraId="6CC595D1" w14:textId="77777777" w:rsidR="00850D9B" w:rsidRDefault="004767A3">
          <w:pPr>
            <w:pStyle w:val="Sumrio3"/>
            <w:tabs>
              <w:tab w:val="right" w:leader="dot" w:pos="8948"/>
            </w:tabs>
            <w:rPr>
              <w:rFonts w:asciiTheme="minorHAnsi" w:eastAsiaTheme="minorEastAsia" w:hAnsiTheme="minorHAnsi"/>
              <w:noProof/>
              <w:sz w:val="22"/>
              <w:lang w:eastAsia="pt-BR"/>
            </w:rPr>
          </w:pPr>
          <w:hyperlink w:anchor="_Toc424741957" w:history="1">
            <w:r w:rsidR="00850D9B" w:rsidRPr="00677238">
              <w:rPr>
                <w:rStyle w:val="Hyperlink"/>
                <w:noProof/>
              </w:rPr>
              <w:t>4.2.1 Qualidades e Pontos Críticos do Índice</w:t>
            </w:r>
            <w:r w:rsidR="00850D9B">
              <w:rPr>
                <w:noProof/>
                <w:webHidden/>
              </w:rPr>
              <w:tab/>
            </w:r>
            <w:r w:rsidR="00850D9B">
              <w:rPr>
                <w:noProof/>
                <w:webHidden/>
              </w:rPr>
              <w:fldChar w:fldCharType="begin"/>
            </w:r>
            <w:r w:rsidR="00850D9B">
              <w:rPr>
                <w:noProof/>
                <w:webHidden/>
              </w:rPr>
              <w:instrText xml:space="preserve"> PAGEREF _Toc424741957 \h </w:instrText>
            </w:r>
            <w:r w:rsidR="00850D9B">
              <w:rPr>
                <w:noProof/>
                <w:webHidden/>
              </w:rPr>
            </w:r>
            <w:r w:rsidR="00850D9B">
              <w:rPr>
                <w:noProof/>
                <w:webHidden/>
              </w:rPr>
              <w:fldChar w:fldCharType="separate"/>
            </w:r>
            <w:r w:rsidR="002A6884">
              <w:rPr>
                <w:noProof/>
                <w:webHidden/>
              </w:rPr>
              <w:t>11</w:t>
            </w:r>
            <w:r w:rsidR="00850D9B">
              <w:rPr>
                <w:noProof/>
                <w:webHidden/>
              </w:rPr>
              <w:fldChar w:fldCharType="end"/>
            </w:r>
          </w:hyperlink>
        </w:p>
        <w:p w14:paraId="73116DF5" w14:textId="77777777" w:rsidR="00850D9B" w:rsidRDefault="004767A3">
          <w:pPr>
            <w:pStyle w:val="Sumrio3"/>
            <w:tabs>
              <w:tab w:val="right" w:leader="dot" w:pos="8948"/>
            </w:tabs>
            <w:rPr>
              <w:rFonts w:asciiTheme="minorHAnsi" w:eastAsiaTheme="minorEastAsia" w:hAnsiTheme="minorHAnsi"/>
              <w:noProof/>
              <w:sz w:val="22"/>
              <w:lang w:eastAsia="pt-BR"/>
            </w:rPr>
          </w:pPr>
          <w:hyperlink w:anchor="_Toc424741958" w:history="1">
            <w:r w:rsidR="00850D9B" w:rsidRPr="00677238">
              <w:rPr>
                <w:rStyle w:val="Hyperlink"/>
                <w:noProof/>
              </w:rPr>
              <w:t>4.2.2.  Índice FGV Imóveis comerciais</w:t>
            </w:r>
            <w:r w:rsidR="00850D9B">
              <w:rPr>
                <w:noProof/>
                <w:webHidden/>
              </w:rPr>
              <w:tab/>
            </w:r>
            <w:r w:rsidR="00850D9B">
              <w:rPr>
                <w:noProof/>
                <w:webHidden/>
              </w:rPr>
              <w:fldChar w:fldCharType="begin"/>
            </w:r>
            <w:r w:rsidR="00850D9B">
              <w:rPr>
                <w:noProof/>
                <w:webHidden/>
              </w:rPr>
              <w:instrText xml:space="preserve"> PAGEREF _Toc424741958 \h </w:instrText>
            </w:r>
            <w:r w:rsidR="00850D9B">
              <w:rPr>
                <w:noProof/>
                <w:webHidden/>
              </w:rPr>
            </w:r>
            <w:r w:rsidR="00850D9B">
              <w:rPr>
                <w:noProof/>
                <w:webHidden/>
              </w:rPr>
              <w:fldChar w:fldCharType="separate"/>
            </w:r>
            <w:r w:rsidR="002A6884">
              <w:rPr>
                <w:noProof/>
                <w:webHidden/>
              </w:rPr>
              <w:t>11</w:t>
            </w:r>
            <w:r w:rsidR="00850D9B">
              <w:rPr>
                <w:noProof/>
                <w:webHidden/>
              </w:rPr>
              <w:fldChar w:fldCharType="end"/>
            </w:r>
          </w:hyperlink>
        </w:p>
        <w:p w14:paraId="7EB433BB" w14:textId="77777777" w:rsidR="00850D9B" w:rsidRDefault="004767A3">
          <w:pPr>
            <w:pStyle w:val="Sumrio2"/>
            <w:tabs>
              <w:tab w:val="left" w:pos="880"/>
              <w:tab w:val="right" w:leader="dot" w:pos="8948"/>
            </w:tabs>
            <w:rPr>
              <w:rFonts w:asciiTheme="minorHAnsi" w:eastAsiaTheme="minorEastAsia" w:hAnsiTheme="minorHAnsi"/>
              <w:noProof/>
              <w:sz w:val="22"/>
              <w:lang w:eastAsia="pt-BR"/>
            </w:rPr>
          </w:pPr>
          <w:hyperlink w:anchor="_Toc424741959" w:history="1">
            <w:r w:rsidR="00850D9B" w:rsidRPr="00677238">
              <w:rPr>
                <w:rStyle w:val="Hyperlink"/>
                <w:b/>
                <w:noProof/>
              </w:rPr>
              <w:t>4.4.</w:t>
            </w:r>
            <w:r w:rsidR="00850D9B">
              <w:rPr>
                <w:rFonts w:asciiTheme="minorHAnsi" w:eastAsiaTheme="minorEastAsia" w:hAnsiTheme="minorHAnsi"/>
                <w:noProof/>
                <w:sz w:val="22"/>
                <w:lang w:eastAsia="pt-BR"/>
              </w:rPr>
              <w:tab/>
            </w:r>
            <w:r w:rsidR="00850D9B" w:rsidRPr="00677238">
              <w:rPr>
                <w:rStyle w:val="Hyperlink"/>
                <w:b/>
                <w:noProof/>
              </w:rPr>
              <w:t>COMPARAÇÃO ENTRE IVG-R E FIPE ZAP</w:t>
            </w:r>
            <w:r w:rsidR="00850D9B">
              <w:rPr>
                <w:noProof/>
                <w:webHidden/>
              </w:rPr>
              <w:tab/>
            </w:r>
            <w:r w:rsidR="00850D9B">
              <w:rPr>
                <w:noProof/>
                <w:webHidden/>
              </w:rPr>
              <w:fldChar w:fldCharType="begin"/>
            </w:r>
            <w:r w:rsidR="00850D9B">
              <w:rPr>
                <w:noProof/>
                <w:webHidden/>
              </w:rPr>
              <w:instrText xml:space="preserve"> PAGEREF _Toc424741959 \h </w:instrText>
            </w:r>
            <w:r w:rsidR="00850D9B">
              <w:rPr>
                <w:noProof/>
                <w:webHidden/>
              </w:rPr>
            </w:r>
            <w:r w:rsidR="00850D9B">
              <w:rPr>
                <w:noProof/>
                <w:webHidden/>
              </w:rPr>
              <w:fldChar w:fldCharType="separate"/>
            </w:r>
            <w:r w:rsidR="002A6884">
              <w:rPr>
                <w:noProof/>
                <w:webHidden/>
              </w:rPr>
              <w:t>11</w:t>
            </w:r>
            <w:r w:rsidR="00850D9B">
              <w:rPr>
                <w:noProof/>
                <w:webHidden/>
              </w:rPr>
              <w:fldChar w:fldCharType="end"/>
            </w:r>
          </w:hyperlink>
        </w:p>
        <w:p w14:paraId="62318425" w14:textId="77777777" w:rsidR="00850D9B" w:rsidRDefault="004767A3">
          <w:pPr>
            <w:pStyle w:val="Sumrio2"/>
            <w:tabs>
              <w:tab w:val="right" w:leader="dot" w:pos="8948"/>
            </w:tabs>
            <w:rPr>
              <w:rFonts w:asciiTheme="minorHAnsi" w:eastAsiaTheme="minorEastAsia" w:hAnsiTheme="minorHAnsi"/>
              <w:noProof/>
              <w:sz w:val="22"/>
              <w:lang w:eastAsia="pt-BR"/>
            </w:rPr>
          </w:pPr>
          <w:hyperlink w:anchor="_Toc424741960" w:history="1">
            <w:r w:rsidR="00850D9B" w:rsidRPr="00677238">
              <w:rPr>
                <w:rStyle w:val="Hyperlink"/>
                <w:noProof/>
              </w:rPr>
              <w:t>4.5 Uso das informações dos índices de preços IVG_R e FIPE-ZAP</w:t>
            </w:r>
            <w:r w:rsidR="00850D9B">
              <w:rPr>
                <w:noProof/>
                <w:webHidden/>
              </w:rPr>
              <w:tab/>
            </w:r>
            <w:r w:rsidR="00850D9B">
              <w:rPr>
                <w:noProof/>
                <w:webHidden/>
              </w:rPr>
              <w:fldChar w:fldCharType="begin"/>
            </w:r>
            <w:r w:rsidR="00850D9B">
              <w:rPr>
                <w:noProof/>
                <w:webHidden/>
              </w:rPr>
              <w:instrText xml:space="preserve"> PAGEREF _Toc424741960 \h </w:instrText>
            </w:r>
            <w:r w:rsidR="00850D9B">
              <w:rPr>
                <w:noProof/>
                <w:webHidden/>
              </w:rPr>
            </w:r>
            <w:r w:rsidR="00850D9B">
              <w:rPr>
                <w:noProof/>
                <w:webHidden/>
              </w:rPr>
              <w:fldChar w:fldCharType="separate"/>
            </w:r>
            <w:r w:rsidR="002A6884">
              <w:rPr>
                <w:noProof/>
                <w:webHidden/>
              </w:rPr>
              <w:t>14</w:t>
            </w:r>
            <w:r w:rsidR="00850D9B">
              <w:rPr>
                <w:noProof/>
                <w:webHidden/>
              </w:rPr>
              <w:fldChar w:fldCharType="end"/>
            </w:r>
          </w:hyperlink>
        </w:p>
        <w:p w14:paraId="20A758FC" w14:textId="77777777" w:rsidR="00850D9B" w:rsidRDefault="004767A3">
          <w:pPr>
            <w:pStyle w:val="Sumrio1"/>
            <w:tabs>
              <w:tab w:val="left" w:pos="480"/>
              <w:tab w:val="right" w:leader="dot" w:pos="8948"/>
            </w:tabs>
            <w:rPr>
              <w:rFonts w:asciiTheme="minorHAnsi" w:eastAsiaTheme="minorEastAsia" w:hAnsiTheme="minorHAnsi"/>
              <w:noProof/>
              <w:sz w:val="22"/>
              <w:lang w:eastAsia="pt-BR"/>
            </w:rPr>
          </w:pPr>
          <w:hyperlink w:anchor="_Toc424741961" w:history="1">
            <w:r w:rsidR="00850D9B" w:rsidRPr="00677238">
              <w:rPr>
                <w:rStyle w:val="Hyperlink"/>
                <w:b/>
                <w:noProof/>
              </w:rPr>
              <w:t>5.</w:t>
            </w:r>
            <w:r w:rsidR="00850D9B">
              <w:rPr>
                <w:rFonts w:asciiTheme="minorHAnsi" w:eastAsiaTheme="minorEastAsia" w:hAnsiTheme="minorHAnsi"/>
                <w:noProof/>
                <w:sz w:val="22"/>
                <w:lang w:eastAsia="pt-BR"/>
              </w:rPr>
              <w:tab/>
            </w:r>
            <w:r w:rsidR="00850D9B" w:rsidRPr="00677238">
              <w:rPr>
                <w:rStyle w:val="Hyperlink"/>
                <w:b/>
                <w:noProof/>
              </w:rPr>
              <w:t>CONCLUSÕES</w:t>
            </w:r>
            <w:r w:rsidR="00850D9B">
              <w:rPr>
                <w:noProof/>
                <w:webHidden/>
              </w:rPr>
              <w:tab/>
            </w:r>
            <w:r w:rsidR="00850D9B">
              <w:rPr>
                <w:noProof/>
                <w:webHidden/>
              </w:rPr>
              <w:fldChar w:fldCharType="begin"/>
            </w:r>
            <w:r w:rsidR="00850D9B">
              <w:rPr>
                <w:noProof/>
                <w:webHidden/>
              </w:rPr>
              <w:instrText xml:space="preserve"> PAGEREF _Toc424741961 \h </w:instrText>
            </w:r>
            <w:r w:rsidR="00850D9B">
              <w:rPr>
                <w:noProof/>
                <w:webHidden/>
              </w:rPr>
            </w:r>
            <w:r w:rsidR="00850D9B">
              <w:rPr>
                <w:noProof/>
                <w:webHidden/>
              </w:rPr>
              <w:fldChar w:fldCharType="separate"/>
            </w:r>
            <w:r w:rsidR="002A6884">
              <w:rPr>
                <w:noProof/>
                <w:webHidden/>
              </w:rPr>
              <w:t>14</w:t>
            </w:r>
            <w:r w:rsidR="00850D9B">
              <w:rPr>
                <w:noProof/>
                <w:webHidden/>
              </w:rPr>
              <w:fldChar w:fldCharType="end"/>
            </w:r>
          </w:hyperlink>
        </w:p>
        <w:p w14:paraId="1B3FAF8C" w14:textId="5651E3B0" w:rsidR="003F1145" w:rsidRDefault="003F1145">
          <w:r>
            <w:rPr>
              <w:b/>
              <w:bCs/>
            </w:rPr>
            <w:fldChar w:fldCharType="end"/>
          </w:r>
        </w:p>
      </w:sdtContent>
    </w:sdt>
    <w:p w14:paraId="7CCFF1CD" w14:textId="77777777" w:rsidR="003F1145" w:rsidRPr="004D0A7E" w:rsidRDefault="003F1145" w:rsidP="003F1145">
      <w:pPr>
        <w:pStyle w:val="Ttulo1"/>
        <w:rPr>
          <w:szCs w:val="24"/>
        </w:rPr>
      </w:pPr>
    </w:p>
    <w:sectPr w:rsidR="003F1145" w:rsidRPr="004D0A7E" w:rsidSect="00A103A2">
      <w:headerReference w:type="first" r:id="rId25"/>
      <w:pgSz w:w="11906" w:h="16838"/>
      <w:pgMar w:top="1304" w:right="1474" w:bottom="1304" w:left="147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A7BF3" w14:textId="77777777" w:rsidR="004767A3" w:rsidRDefault="004767A3" w:rsidP="00E85472">
      <w:r>
        <w:separator/>
      </w:r>
    </w:p>
  </w:endnote>
  <w:endnote w:type="continuationSeparator" w:id="0">
    <w:p w14:paraId="4C7B62A3" w14:textId="77777777" w:rsidR="004767A3" w:rsidRDefault="004767A3" w:rsidP="00E85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S Mincho"/>
    <w:panose1 w:val="00000000000000000000"/>
    <w:charset w:val="80"/>
    <w:family w:val="roman"/>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4F3C8" w14:textId="77777777" w:rsidR="004767A3" w:rsidRDefault="004767A3" w:rsidP="00E85472">
      <w:r>
        <w:separator/>
      </w:r>
    </w:p>
  </w:footnote>
  <w:footnote w:type="continuationSeparator" w:id="0">
    <w:p w14:paraId="43B927C5" w14:textId="77777777" w:rsidR="004767A3" w:rsidRDefault="004767A3" w:rsidP="00E85472">
      <w:r>
        <w:continuationSeparator/>
      </w:r>
    </w:p>
  </w:footnote>
  <w:footnote w:id="1">
    <w:p w14:paraId="5DD8A7F2" w14:textId="088BF5B5" w:rsidR="007A3D34" w:rsidRPr="001D4BAA" w:rsidRDefault="007A3D34">
      <w:pPr>
        <w:pStyle w:val="Textodenotaderodap"/>
        <w:rPr>
          <w:lang w:val="en-US"/>
        </w:rPr>
      </w:pPr>
      <w:r>
        <w:rPr>
          <w:rStyle w:val="Refdenotaderodap"/>
        </w:rPr>
        <w:footnoteRef/>
      </w:r>
      <w:r w:rsidRPr="001D4BAA">
        <w:rPr>
          <w:lang w:val="en-US"/>
        </w:rPr>
        <w:t xml:space="preserve"> </w:t>
      </w:r>
      <w:r w:rsidRPr="00354E7B">
        <w:rPr>
          <w:rFonts w:cs="Times New Roman"/>
          <w:szCs w:val="24"/>
          <w:lang w:val="en-US"/>
        </w:rPr>
        <w:t xml:space="preserve">BIS Working Paper No 21 - Real Estate Indicators and Financial Stability - Proceedings of a joint conference </w:t>
      </w:r>
      <w:proofErr w:type="spellStart"/>
      <w:r w:rsidRPr="00354E7B">
        <w:rPr>
          <w:rFonts w:cs="Times New Roman"/>
          <w:szCs w:val="24"/>
          <w:lang w:val="en-US"/>
        </w:rPr>
        <w:t>organised</w:t>
      </w:r>
      <w:proofErr w:type="spellEnd"/>
      <w:r w:rsidRPr="00354E7B">
        <w:rPr>
          <w:rFonts w:cs="Times New Roman"/>
          <w:szCs w:val="24"/>
          <w:lang w:val="en-US"/>
        </w:rPr>
        <w:t xml:space="preserve"> by the BIS and the IMF in Washington DC, 27–28 October 2003</w:t>
      </w:r>
    </w:p>
  </w:footnote>
  <w:footnote w:id="2">
    <w:p w14:paraId="73F81EE7" w14:textId="212D650F" w:rsidR="007A3D34" w:rsidRPr="00C54270" w:rsidRDefault="007A3D34" w:rsidP="00C54270">
      <w:pPr>
        <w:autoSpaceDE w:val="0"/>
        <w:autoSpaceDN w:val="0"/>
        <w:adjustRightInd w:val="0"/>
        <w:rPr>
          <w:sz w:val="20"/>
          <w:szCs w:val="20"/>
          <w:lang w:val="en-US"/>
        </w:rPr>
      </w:pPr>
      <w:r w:rsidRPr="00C54270">
        <w:rPr>
          <w:sz w:val="20"/>
          <w:szCs w:val="20"/>
        </w:rPr>
        <w:footnoteRef/>
      </w:r>
      <w:r w:rsidRPr="00C54270">
        <w:rPr>
          <w:sz w:val="20"/>
          <w:szCs w:val="20"/>
          <w:lang w:val="en-US"/>
        </w:rPr>
        <w:t xml:space="preserve"> Real </w:t>
      </w:r>
      <w:r>
        <w:rPr>
          <w:sz w:val="20"/>
          <w:szCs w:val="20"/>
          <w:lang w:val="en-US"/>
        </w:rPr>
        <w:t>E</w:t>
      </w:r>
      <w:r w:rsidRPr="00C54270">
        <w:rPr>
          <w:sz w:val="20"/>
          <w:szCs w:val="20"/>
          <w:lang w:val="en-US"/>
        </w:rPr>
        <w:t xml:space="preserve">state </w:t>
      </w:r>
      <w:r>
        <w:rPr>
          <w:sz w:val="20"/>
          <w:szCs w:val="20"/>
          <w:lang w:val="en-US"/>
        </w:rPr>
        <w:t>P</w:t>
      </w:r>
      <w:r w:rsidRPr="00C54270">
        <w:rPr>
          <w:sz w:val="20"/>
          <w:szCs w:val="20"/>
          <w:lang w:val="en-US"/>
        </w:rPr>
        <w:t xml:space="preserve">rices as </w:t>
      </w:r>
      <w:r>
        <w:rPr>
          <w:sz w:val="20"/>
          <w:szCs w:val="20"/>
          <w:lang w:val="en-US"/>
        </w:rPr>
        <w:t>F</w:t>
      </w:r>
      <w:r w:rsidRPr="00C54270">
        <w:rPr>
          <w:sz w:val="20"/>
          <w:szCs w:val="20"/>
          <w:lang w:val="en-US"/>
        </w:rPr>
        <w:t xml:space="preserve">inancial </w:t>
      </w:r>
      <w:r>
        <w:rPr>
          <w:sz w:val="20"/>
          <w:szCs w:val="20"/>
          <w:lang w:val="en-US"/>
        </w:rPr>
        <w:t>S</w:t>
      </w:r>
      <w:r w:rsidRPr="00C54270">
        <w:rPr>
          <w:sz w:val="20"/>
          <w:szCs w:val="20"/>
          <w:lang w:val="en-US"/>
        </w:rPr>
        <w:t xml:space="preserve">oundness </w:t>
      </w:r>
      <w:r>
        <w:rPr>
          <w:sz w:val="20"/>
          <w:szCs w:val="20"/>
          <w:lang w:val="en-US"/>
        </w:rPr>
        <w:t>I</w:t>
      </w:r>
      <w:r w:rsidRPr="00C54270">
        <w:rPr>
          <w:sz w:val="20"/>
          <w:szCs w:val="20"/>
          <w:lang w:val="en-US"/>
        </w:rPr>
        <w:t xml:space="preserve">ndicators </w:t>
      </w:r>
      <w:r>
        <w:rPr>
          <w:sz w:val="20"/>
          <w:szCs w:val="20"/>
          <w:lang w:val="en-US"/>
        </w:rPr>
        <w:t>–</w:t>
      </w:r>
      <w:r w:rsidRPr="00C54270">
        <w:rPr>
          <w:sz w:val="20"/>
          <w:szCs w:val="20"/>
          <w:lang w:val="en-US"/>
        </w:rPr>
        <w:t xml:space="preserve"> Heath</w:t>
      </w:r>
      <w:r>
        <w:rPr>
          <w:sz w:val="20"/>
          <w:szCs w:val="20"/>
          <w:lang w:val="en-US"/>
        </w:rPr>
        <w:t>, R.</w:t>
      </w:r>
      <w:proofErr w:type="gramStart"/>
      <w:r>
        <w:rPr>
          <w:sz w:val="20"/>
          <w:szCs w:val="20"/>
          <w:lang w:val="en-US"/>
        </w:rPr>
        <w:t xml:space="preserve">; </w:t>
      </w:r>
      <w:r w:rsidRPr="00C54270">
        <w:rPr>
          <w:sz w:val="20"/>
          <w:szCs w:val="20"/>
          <w:lang w:val="en-US"/>
        </w:rPr>
        <w:t xml:space="preserve"> BIS</w:t>
      </w:r>
      <w:proofErr w:type="gramEnd"/>
      <w:r w:rsidRPr="00C54270">
        <w:rPr>
          <w:sz w:val="20"/>
          <w:szCs w:val="20"/>
          <w:lang w:val="en-US"/>
        </w:rPr>
        <w:t xml:space="preserve"> </w:t>
      </w:r>
      <w:r>
        <w:rPr>
          <w:sz w:val="20"/>
          <w:szCs w:val="20"/>
          <w:lang w:val="en-US"/>
        </w:rPr>
        <w:t xml:space="preserve"> </w:t>
      </w:r>
      <w:r w:rsidRPr="00C54270">
        <w:rPr>
          <w:sz w:val="20"/>
          <w:szCs w:val="20"/>
          <w:lang w:val="en-US"/>
        </w:rPr>
        <w:t>WP 21</w:t>
      </w:r>
      <w:r>
        <w:rPr>
          <w:sz w:val="20"/>
          <w:szCs w:val="20"/>
          <w:lang w:val="en-US"/>
        </w:rPr>
        <w:t>;</w:t>
      </w:r>
      <w:r w:rsidRPr="00C54270">
        <w:rPr>
          <w:sz w:val="20"/>
          <w:szCs w:val="20"/>
          <w:lang w:val="en-US"/>
        </w:rPr>
        <w:t xml:space="preserve"> pg.6</w:t>
      </w:r>
      <w:r>
        <w:rPr>
          <w:sz w:val="20"/>
          <w:szCs w:val="20"/>
          <w:lang w:val="en-US"/>
        </w:rPr>
        <w:t>.</w:t>
      </w:r>
    </w:p>
  </w:footnote>
  <w:footnote w:id="3">
    <w:p w14:paraId="091750BB" w14:textId="054D6FFF" w:rsidR="007A3D34" w:rsidRPr="00EB3082" w:rsidRDefault="007A3D34" w:rsidP="002B7997">
      <w:pPr>
        <w:autoSpaceDE w:val="0"/>
        <w:autoSpaceDN w:val="0"/>
        <w:adjustRightInd w:val="0"/>
        <w:ind w:left="284" w:hanging="284"/>
        <w:rPr>
          <w:rFonts w:cs="Times New Roman"/>
          <w:bCs/>
          <w:sz w:val="20"/>
          <w:szCs w:val="20"/>
          <w:lang w:val="en-US"/>
        </w:rPr>
      </w:pPr>
      <w:r w:rsidRPr="00EB3082">
        <w:rPr>
          <w:rFonts w:cs="Times New Roman"/>
          <w:bCs/>
          <w:sz w:val="20"/>
          <w:szCs w:val="20"/>
          <w:lang w:val="en-US"/>
        </w:rPr>
        <w:footnoteRef/>
      </w:r>
      <w:r w:rsidRPr="00EB3082">
        <w:rPr>
          <w:rFonts w:cs="Times New Roman"/>
          <w:bCs/>
          <w:sz w:val="20"/>
          <w:szCs w:val="20"/>
          <w:lang w:val="en-US"/>
        </w:rPr>
        <w:t xml:space="preserve"> Housing Price Bubbles - A Tale Based On Housing Price Booms And Busts; </w:t>
      </w:r>
      <w:proofErr w:type="spellStart"/>
      <w:r w:rsidRPr="00EB3082">
        <w:rPr>
          <w:rFonts w:cs="Times New Roman"/>
          <w:bCs/>
          <w:sz w:val="20"/>
          <w:szCs w:val="20"/>
          <w:lang w:val="en-US"/>
        </w:rPr>
        <w:t>Helbling</w:t>
      </w:r>
      <w:proofErr w:type="spellEnd"/>
      <w:r w:rsidRPr="00EB3082">
        <w:rPr>
          <w:rFonts w:cs="Times New Roman"/>
          <w:bCs/>
          <w:sz w:val="20"/>
          <w:szCs w:val="20"/>
          <w:lang w:val="en-US"/>
        </w:rPr>
        <w:t>, T. F,; BIS WP 21, pg. 28</w:t>
      </w:r>
    </w:p>
  </w:footnote>
  <w:footnote w:id="4">
    <w:p w14:paraId="5E80C01E" w14:textId="77777777" w:rsidR="007A3D34" w:rsidRPr="00EB3082" w:rsidRDefault="007A3D34">
      <w:pPr>
        <w:pStyle w:val="Textodenotaderodap"/>
      </w:pPr>
      <w:r w:rsidRPr="00EB3082">
        <w:rPr>
          <w:rStyle w:val="Refdenotaderodap"/>
        </w:rPr>
        <w:footnoteRef/>
      </w:r>
      <w:r w:rsidRPr="00EB3082">
        <w:t xml:space="preserve"> </w:t>
      </w:r>
      <w:r w:rsidRPr="00EB3082">
        <w:rPr>
          <w:rFonts w:cs="Times New Roman"/>
        </w:rPr>
        <w:t>Vale notar que a expressão “</w:t>
      </w:r>
      <w:r w:rsidRPr="00EB3082">
        <w:rPr>
          <w:rFonts w:cs="Times New Roman"/>
          <w:i/>
        </w:rPr>
        <w:t xml:space="preserve">Dependendo da métrica utilizada..” </w:t>
      </w:r>
      <w:r w:rsidRPr="00EB3082">
        <w:rPr>
          <w:rFonts w:cs="Times New Roman"/>
        </w:rPr>
        <w:t>no início da frase, o autor se refere ao seu estudo para o artigo, e não às métricas de evolução dos preços dos imóveis.</w:t>
      </w:r>
    </w:p>
  </w:footnote>
  <w:footnote w:id="5">
    <w:p w14:paraId="0C5722DB" w14:textId="1430C439" w:rsidR="007A3D34" w:rsidRPr="002545A5" w:rsidRDefault="007A3D34" w:rsidP="002545A5">
      <w:pPr>
        <w:autoSpaceDE w:val="0"/>
        <w:autoSpaceDN w:val="0"/>
        <w:adjustRightInd w:val="0"/>
        <w:rPr>
          <w:rFonts w:cs="Times New Roman"/>
          <w:sz w:val="20"/>
          <w:szCs w:val="20"/>
          <w:lang w:val="en-US"/>
        </w:rPr>
      </w:pPr>
      <w:r>
        <w:rPr>
          <w:rStyle w:val="Refdenotaderodap"/>
        </w:rPr>
        <w:footnoteRef/>
      </w:r>
      <w:r w:rsidRPr="002545A5">
        <w:rPr>
          <w:rFonts w:cs="Times New Roman"/>
          <w:sz w:val="20"/>
          <w:szCs w:val="20"/>
          <w:lang w:val="en-US"/>
        </w:rPr>
        <w:t xml:space="preserve"> </w:t>
      </w:r>
      <w:r w:rsidRPr="00525F1B">
        <w:rPr>
          <w:rFonts w:cs="Times New Roman"/>
          <w:bCs/>
          <w:sz w:val="20"/>
          <w:szCs w:val="20"/>
          <w:lang w:val="en-US"/>
        </w:rPr>
        <w:t>Residential Real Estate Price Indices As Financial Soundness Indicators: Methodological Issues</w:t>
      </w:r>
      <w:r>
        <w:rPr>
          <w:rFonts w:cs="Times New Roman"/>
          <w:bCs/>
          <w:sz w:val="20"/>
          <w:szCs w:val="20"/>
          <w:lang w:val="en-US"/>
        </w:rPr>
        <w:t xml:space="preserve">; </w:t>
      </w:r>
      <w:r w:rsidRPr="002545A5">
        <w:rPr>
          <w:rFonts w:cs="Times New Roman"/>
          <w:sz w:val="20"/>
          <w:szCs w:val="20"/>
          <w:lang w:val="en-US"/>
        </w:rPr>
        <w:t>Case</w:t>
      </w:r>
      <w:r>
        <w:rPr>
          <w:rFonts w:cs="Times New Roman"/>
          <w:sz w:val="20"/>
          <w:szCs w:val="20"/>
          <w:lang w:val="en-US"/>
        </w:rPr>
        <w:t xml:space="preserve">, </w:t>
      </w:r>
      <w:r w:rsidRPr="002545A5">
        <w:rPr>
          <w:rFonts w:cs="Times New Roman"/>
          <w:sz w:val="20"/>
          <w:szCs w:val="20"/>
          <w:lang w:val="en-US"/>
        </w:rPr>
        <w:t>B</w:t>
      </w:r>
      <w:r>
        <w:rPr>
          <w:rFonts w:cs="Times New Roman"/>
          <w:sz w:val="20"/>
          <w:szCs w:val="20"/>
          <w:lang w:val="en-US"/>
        </w:rPr>
        <w:t>.</w:t>
      </w:r>
      <w:r w:rsidRPr="002545A5">
        <w:rPr>
          <w:rFonts w:cs="Times New Roman"/>
          <w:sz w:val="20"/>
          <w:szCs w:val="20"/>
          <w:lang w:val="en-US"/>
        </w:rPr>
        <w:t xml:space="preserve"> and </w:t>
      </w:r>
      <w:proofErr w:type="spellStart"/>
      <w:r w:rsidRPr="002545A5">
        <w:rPr>
          <w:rFonts w:cs="Times New Roman"/>
          <w:sz w:val="20"/>
          <w:szCs w:val="20"/>
          <w:lang w:val="en-US"/>
        </w:rPr>
        <w:t>Wachter</w:t>
      </w:r>
      <w:proofErr w:type="spellEnd"/>
      <w:r w:rsidRPr="002545A5">
        <w:rPr>
          <w:rFonts w:cs="Times New Roman"/>
          <w:sz w:val="20"/>
          <w:szCs w:val="20"/>
          <w:lang w:val="en-US"/>
        </w:rPr>
        <w:t>,</w:t>
      </w:r>
      <w:r>
        <w:rPr>
          <w:rFonts w:cs="Times New Roman"/>
          <w:sz w:val="20"/>
          <w:szCs w:val="20"/>
          <w:lang w:val="en-US"/>
        </w:rPr>
        <w:t xml:space="preserve"> </w:t>
      </w:r>
      <w:r w:rsidRPr="002545A5">
        <w:rPr>
          <w:rFonts w:cs="Times New Roman"/>
          <w:sz w:val="20"/>
          <w:szCs w:val="20"/>
          <w:lang w:val="en-US"/>
        </w:rPr>
        <w:t>S</w:t>
      </w:r>
      <w:r>
        <w:rPr>
          <w:rFonts w:cs="Times New Roman"/>
          <w:sz w:val="20"/>
          <w:szCs w:val="20"/>
          <w:lang w:val="en-US"/>
        </w:rPr>
        <w:t>.</w:t>
      </w:r>
      <w:r w:rsidRPr="002545A5">
        <w:rPr>
          <w:rFonts w:cs="Times New Roman"/>
          <w:sz w:val="20"/>
          <w:szCs w:val="20"/>
          <w:lang w:val="en-US"/>
        </w:rPr>
        <w:t xml:space="preserve"> BIS WP 21 </w:t>
      </w:r>
      <w:proofErr w:type="spellStart"/>
      <w:r w:rsidRPr="002545A5">
        <w:rPr>
          <w:rFonts w:cs="Times New Roman"/>
          <w:sz w:val="20"/>
          <w:szCs w:val="20"/>
          <w:lang w:val="en-US"/>
        </w:rPr>
        <w:t>pg</w:t>
      </w:r>
      <w:proofErr w:type="spellEnd"/>
      <w:r>
        <w:rPr>
          <w:rFonts w:cs="Times New Roman"/>
          <w:sz w:val="20"/>
          <w:szCs w:val="20"/>
          <w:lang w:val="en-US"/>
        </w:rPr>
        <w:t xml:space="preserve"> 198</w:t>
      </w:r>
    </w:p>
    <w:p w14:paraId="05E0EAE0" w14:textId="77777777" w:rsidR="007A3D34" w:rsidRPr="002545A5" w:rsidRDefault="007A3D34">
      <w:pPr>
        <w:pStyle w:val="Textodenotaderodap"/>
        <w:rPr>
          <w:lang w:val="en-US"/>
        </w:rPr>
      </w:pPr>
    </w:p>
  </w:footnote>
  <w:footnote w:id="6">
    <w:p w14:paraId="2F35BD61" w14:textId="77777777" w:rsidR="007A3D34" w:rsidRPr="00F24309" w:rsidRDefault="007A3D34" w:rsidP="00185716">
      <w:pPr>
        <w:autoSpaceDE w:val="0"/>
        <w:autoSpaceDN w:val="0"/>
        <w:adjustRightInd w:val="0"/>
        <w:rPr>
          <w:rFonts w:cs="Times New Roman"/>
          <w:bCs/>
          <w:sz w:val="20"/>
          <w:szCs w:val="20"/>
          <w:lang w:val="en-US"/>
        </w:rPr>
      </w:pPr>
      <w:r w:rsidRPr="00F24309">
        <w:rPr>
          <w:rFonts w:cs="Times New Roman"/>
          <w:bCs/>
          <w:sz w:val="20"/>
          <w:szCs w:val="20"/>
          <w:lang w:val="en-US"/>
        </w:rPr>
        <w:footnoteRef/>
      </w:r>
      <w:r w:rsidRPr="00F24309">
        <w:rPr>
          <w:rFonts w:cs="Times New Roman"/>
          <w:bCs/>
          <w:sz w:val="20"/>
          <w:szCs w:val="20"/>
          <w:lang w:val="en-US"/>
        </w:rPr>
        <w:t xml:space="preserve"> Real </w:t>
      </w:r>
      <w:r>
        <w:rPr>
          <w:rFonts w:cs="Times New Roman"/>
          <w:bCs/>
          <w:sz w:val="20"/>
          <w:szCs w:val="20"/>
          <w:lang w:val="en-US"/>
        </w:rPr>
        <w:t>Estate Prices a</w:t>
      </w:r>
      <w:r w:rsidRPr="00F24309">
        <w:rPr>
          <w:rFonts w:cs="Times New Roman"/>
          <w:bCs/>
          <w:sz w:val="20"/>
          <w:szCs w:val="20"/>
          <w:lang w:val="en-US"/>
        </w:rPr>
        <w:t>s</w:t>
      </w:r>
      <w:r>
        <w:rPr>
          <w:rFonts w:cs="Times New Roman"/>
          <w:bCs/>
          <w:sz w:val="20"/>
          <w:szCs w:val="20"/>
          <w:lang w:val="en-US"/>
        </w:rPr>
        <w:t xml:space="preserve"> </w:t>
      </w:r>
      <w:r w:rsidRPr="00F24309">
        <w:rPr>
          <w:rFonts w:cs="Times New Roman"/>
          <w:bCs/>
          <w:sz w:val="20"/>
          <w:szCs w:val="20"/>
          <w:lang w:val="en-US"/>
        </w:rPr>
        <w:t>Financial Soundness Indicators</w:t>
      </w:r>
      <w:r>
        <w:rPr>
          <w:rFonts w:cs="Times New Roman"/>
          <w:bCs/>
          <w:sz w:val="20"/>
          <w:szCs w:val="20"/>
          <w:lang w:val="en-US"/>
        </w:rPr>
        <w:t xml:space="preserve">; </w:t>
      </w:r>
      <w:r w:rsidRPr="00F24309">
        <w:rPr>
          <w:rFonts w:cs="Times New Roman"/>
          <w:bCs/>
          <w:sz w:val="20"/>
          <w:szCs w:val="20"/>
          <w:lang w:val="en-US"/>
        </w:rPr>
        <w:t>Robert Heath</w:t>
      </w:r>
      <w:r>
        <w:rPr>
          <w:rFonts w:cs="Times New Roman"/>
          <w:bCs/>
          <w:sz w:val="20"/>
          <w:szCs w:val="20"/>
          <w:lang w:val="en-US"/>
        </w:rPr>
        <w:t xml:space="preserve">, </w:t>
      </w:r>
      <w:r w:rsidRPr="002545A5">
        <w:rPr>
          <w:rFonts w:cs="Times New Roman"/>
          <w:sz w:val="20"/>
          <w:szCs w:val="20"/>
          <w:lang w:val="en-US"/>
        </w:rPr>
        <w:t>BIS WP 21</w:t>
      </w:r>
      <w:r>
        <w:rPr>
          <w:rFonts w:cs="Times New Roman"/>
          <w:sz w:val="20"/>
          <w:szCs w:val="20"/>
          <w:lang w:val="en-US"/>
        </w:rPr>
        <w:t>,</w:t>
      </w:r>
      <w:r w:rsidRPr="002545A5">
        <w:rPr>
          <w:rFonts w:cs="Times New Roman"/>
          <w:sz w:val="20"/>
          <w:szCs w:val="20"/>
          <w:lang w:val="en-US"/>
        </w:rPr>
        <w:t xml:space="preserve"> </w:t>
      </w:r>
      <w:proofErr w:type="spellStart"/>
      <w:r w:rsidRPr="002545A5">
        <w:rPr>
          <w:rFonts w:cs="Times New Roman"/>
          <w:sz w:val="20"/>
          <w:szCs w:val="20"/>
          <w:lang w:val="en-US"/>
        </w:rPr>
        <w:t>pg</w:t>
      </w:r>
      <w:proofErr w:type="spellEnd"/>
      <w:r>
        <w:rPr>
          <w:rFonts w:cs="Times New Roman"/>
          <w:sz w:val="20"/>
          <w:szCs w:val="20"/>
          <w:lang w:val="en-US"/>
        </w:rPr>
        <w:t xml:space="preserve"> 6</w:t>
      </w:r>
    </w:p>
  </w:footnote>
  <w:footnote w:id="7">
    <w:p w14:paraId="1C39AAAB" w14:textId="4912808F" w:rsidR="007A3D34" w:rsidRPr="00FC0059" w:rsidRDefault="007A3D34" w:rsidP="00FC0059">
      <w:pPr>
        <w:pStyle w:val="Textodenotaderodap"/>
        <w:rPr>
          <w:lang w:val="en-US"/>
        </w:rPr>
      </w:pPr>
      <w:r>
        <w:rPr>
          <w:rStyle w:val="Refdenotaderodap"/>
        </w:rPr>
        <w:footnoteRef/>
      </w:r>
      <w:r w:rsidRPr="00FC0059">
        <w:rPr>
          <w:lang w:val="en-US"/>
        </w:rPr>
        <w:t xml:space="preserve"> </w:t>
      </w:r>
      <w:r w:rsidRPr="00565724">
        <w:rPr>
          <w:lang w:val="en-US"/>
        </w:rPr>
        <w:t>http://www.bcb.gov.br/?scr</w:t>
      </w:r>
    </w:p>
  </w:footnote>
  <w:footnote w:id="8">
    <w:p w14:paraId="23FE1311" w14:textId="2844ADCF" w:rsidR="007A3D34" w:rsidRPr="002606DB" w:rsidRDefault="007A3D34">
      <w:pPr>
        <w:pStyle w:val="Textodenotaderodap"/>
        <w:rPr>
          <w:lang w:val="en-US"/>
        </w:rPr>
      </w:pPr>
      <w:r>
        <w:rPr>
          <w:rStyle w:val="Refdenotaderodap"/>
        </w:rPr>
        <w:footnoteRef/>
      </w:r>
      <w:r w:rsidRPr="002606DB">
        <w:rPr>
          <w:lang w:val="en-US"/>
        </w:rPr>
        <w:t xml:space="preserve"> http://www.bruegel.org/nc/blog/detail/article/849-blogs-review-hp-filters-and-business-cycles/</w:t>
      </w:r>
    </w:p>
  </w:footnote>
  <w:footnote w:id="9">
    <w:p w14:paraId="28DCD49C" w14:textId="2B577EB8" w:rsidR="007A3D34" w:rsidRPr="00436321" w:rsidRDefault="007A3D34">
      <w:pPr>
        <w:pStyle w:val="Textodenotaderodap"/>
        <w:rPr>
          <w:szCs w:val="22"/>
        </w:rPr>
      </w:pPr>
      <w:r>
        <w:rPr>
          <w:rStyle w:val="Refdenotaderodap"/>
        </w:rPr>
        <w:footnoteRef/>
      </w:r>
      <w:r w:rsidRPr="000C0F68">
        <w:t xml:space="preserve"> </w:t>
      </w:r>
      <w:hyperlink r:id="rId1" w:history="1">
        <w:r w:rsidRPr="00436321">
          <w:rPr>
            <w:szCs w:val="22"/>
          </w:rPr>
          <w:t>Cohen-Setton</w:t>
        </w:r>
      </w:hyperlink>
      <w:r w:rsidRPr="00436321">
        <w:rPr>
          <w:szCs w:val="22"/>
        </w:rPr>
        <w:t xml:space="preserve">, J.  </w:t>
      </w:r>
      <w:proofErr w:type="spellStart"/>
      <w:proofErr w:type="gramStart"/>
      <w:r w:rsidRPr="00753D43">
        <w:rPr>
          <w:szCs w:val="22"/>
        </w:rPr>
        <w:t>and</w:t>
      </w:r>
      <w:proofErr w:type="spellEnd"/>
      <w:proofErr w:type="gramEnd"/>
      <w:r w:rsidRPr="00753D43">
        <w:rPr>
          <w:szCs w:val="22"/>
        </w:rPr>
        <w:t xml:space="preserve"> </w:t>
      </w:r>
      <w:hyperlink r:id="rId2" w:history="1">
        <w:r w:rsidRPr="00753D43">
          <w:rPr>
            <w:szCs w:val="22"/>
          </w:rPr>
          <w:t>Yatsynovich</w:t>
        </w:r>
      </w:hyperlink>
      <w:r w:rsidRPr="00753D43">
        <w:rPr>
          <w:szCs w:val="22"/>
        </w:rPr>
        <w:t xml:space="preserve">, Y, em </w:t>
      </w:r>
      <w:r w:rsidRPr="00753D43">
        <w:t xml:space="preserve"> </w:t>
      </w:r>
      <w:hyperlink r:id="rId3" w:history="1">
        <w:r w:rsidRPr="00753D43">
          <w:rPr>
            <w:rStyle w:val="Hyperlink"/>
          </w:rPr>
          <w:t>http://www.bruegel.org/nc/blog/detail/article/849-blogs-review-hp-filters-and-business-cycles/</w:t>
        </w:r>
      </w:hyperlink>
      <w:r w:rsidRPr="00753D43">
        <w:t xml:space="preserve"> </w:t>
      </w:r>
      <w:r w:rsidRPr="00753D43">
        <w:rPr>
          <w:szCs w:val="22"/>
        </w:rPr>
        <w:t xml:space="preserve">  </w:t>
      </w:r>
      <w:r w:rsidRPr="00436321">
        <w:rPr>
          <w:szCs w:val="22"/>
        </w:rPr>
        <w:t xml:space="preserve">recorrem a um gráfico apresentado pelo presidente do Federal Reserve de </w:t>
      </w:r>
      <w:proofErr w:type="spellStart"/>
      <w:r w:rsidRPr="00436321">
        <w:rPr>
          <w:szCs w:val="22"/>
        </w:rPr>
        <w:t>St</w:t>
      </w:r>
      <w:proofErr w:type="spellEnd"/>
      <w:r w:rsidRPr="00436321">
        <w:rPr>
          <w:szCs w:val="22"/>
        </w:rPr>
        <w:t xml:space="preserve"> Louis, </w:t>
      </w:r>
      <w:hyperlink r:id="rId4" w:tgtFrame="_blank" w:history="1">
        <w:r w:rsidRPr="00436321">
          <w:rPr>
            <w:szCs w:val="22"/>
          </w:rPr>
          <w:t xml:space="preserve">James </w:t>
        </w:r>
        <w:proofErr w:type="spellStart"/>
        <w:r w:rsidRPr="00436321">
          <w:rPr>
            <w:szCs w:val="22"/>
          </w:rPr>
          <w:t>Bullard</w:t>
        </w:r>
        <w:proofErr w:type="spellEnd"/>
      </w:hyperlink>
      <w:r w:rsidRPr="00436321">
        <w:rPr>
          <w:szCs w:val="22"/>
        </w:rPr>
        <w:t xml:space="preserve">, onde claramente a aplicação do filtro </w:t>
      </w:r>
      <w:proofErr w:type="spellStart"/>
      <w:r w:rsidRPr="00436321">
        <w:rPr>
          <w:szCs w:val="22"/>
        </w:rPr>
        <w:t>Hodrick</w:t>
      </w:r>
      <w:proofErr w:type="spellEnd"/>
      <w:r w:rsidRPr="00436321">
        <w:rPr>
          <w:szCs w:val="22"/>
        </w:rPr>
        <w:t>-Prescott privilegia a tendência ao invés do ciclo.</w:t>
      </w:r>
      <w:r>
        <w:rPr>
          <w:szCs w:val="22"/>
        </w:rPr>
        <w:t xml:space="preserve"> À esquerda a curva do PIB em uma curva sólida e uma projeção linear, em uma linha intermitente. À direita a mesma curva do PIB, com a aplicação do filtro </w:t>
      </w:r>
      <w:proofErr w:type="spellStart"/>
      <w:r w:rsidRPr="000C09A2">
        <w:rPr>
          <w:szCs w:val="22"/>
        </w:rPr>
        <w:t>Hodrick</w:t>
      </w:r>
      <w:proofErr w:type="spellEnd"/>
      <w:r w:rsidRPr="000C09A2">
        <w:rPr>
          <w:szCs w:val="22"/>
        </w:rPr>
        <w:t>-Prescott</w:t>
      </w:r>
      <w:r>
        <w:rPr>
          <w:szCs w:val="22"/>
        </w:rPr>
        <w:t xml:space="preserve">, não por acaso denominado, </w:t>
      </w:r>
      <w:r w:rsidRPr="000C09A2">
        <w:rPr>
          <w:i/>
          <w:szCs w:val="22"/>
        </w:rPr>
        <w:t>HP Trend</w:t>
      </w:r>
      <w:r>
        <w:rPr>
          <w:i/>
          <w:szCs w:val="22"/>
        </w:rPr>
        <w:t>.</w:t>
      </w:r>
    </w:p>
    <w:p w14:paraId="21F43774" w14:textId="77777777" w:rsidR="007A3D34" w:rsidRPr="00436321" w:rsidRDefault="007A3D34">
      <w:pPr>
        <w:pStyle w:val="Textodenotaderodap"/>
      </w:pPr>
    </w:p>
    <w:p w14:paraId="31002333" w14:textId="77777777" w:rsidR="007A3D34" w:rsidRPr="00436321" w:rsidRDefault="007A3D34">
      <w:pPr>
        <w:pStyle w:val="Textodenotaderodap"/>
      </w:pPr>
    </w:p>
    <w:p w14:paraId="6BC3C91D" w14:textId="3AD53F8F" w:rsidR="007A3D34" w:rsidRDefault="007A3D34">
      <w:pPr>
        <w:pStyle w:val="Textodenotaderodap"/>
        <w:rPr>
          <w:lang w:val="en-US"/>
        </w:rPr>
      </w:pPr>
      <w:r>
        <w:rPr>
          <w:noProof/>
          <w:lang w:eastAsia="pt-BR"/>
        </w:rPr>
        <w:drawing>
          <wp:inline distT="0" distB="0" distL="0" distR="0" wp14:anchorId="67B3316A" wp14:editId="7C521115">
            <wp:extent cx="5633578" cy="3002280"/>
            <wp:effectExtent l="0" t="0" r="5715" b="762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 pagina www bruegel org.jpg"/>
                    <pic:cNvPicPr/>
                  </pic:nvPicPr>
                  <pic:blipFill>
                    <a:blip r:embed="rId5">
                      <a:extLst>
                        <a:ext uri="{28A0092B-C50C-407E-A947-70E740481C1C}">
                          <a14:useLocalDpi xmlns:a14="http://schemas.microsoft.com/office/drawing/2010/main" val="0"/>
                        </a:ext>
                      </a:extLst>
                    </a:blip>
                    <a:stretch>
                      <a:fillRect/>
                    </a:stretch>
                  </pic:blipFill>
                  <pic:spPr>
                    <a:xfrm>
                      <a:off x="0" y="0"/>
                      <a:ext cx="5640669" cy="3006059"/>
                    </a:xfrm>
                    <a:prstGeom prst="rect">
                      <a:avLst/>
                    </a:prstGeom>
                  </pic:spPr>
                </pic:pic>
              </a:graphicData>
            </a:graphic>
          </wp:inline>
        </w:drawing>
      </w:r>
    </w:p>
    <w:p w14:paraId="4C4DD856" w14:textId="77777777" w:rsidR="007A3D34" w:rsidRPr="006B6608" w:rsidRDefault="007A3D34">
      <w:pPr>
        <w:pStyle w:val="Textodenotaderodap"/>
        <w:rPr>
          <w:lang w:val="en-US"/>
        </w:rPr>
      </w:pPr>
    </w:p>
  </w:footnote>
  <w:footnote w:id="10">
    <w:p w14:paraId="489AC76A" w14:textId="77777777" w:rsidR="00A103A2" w:rsidRPr="002606DB" w:rsidRDefault="00A103A2" w:rsidP="00A103A2">
      <w:pPr>
        <w:pStyle w:val="Textodenotaderodap"/>
        <w:rPr>
          <w:lang w:val="en-US"/>
        </w:rPr>
      </w:pPr>
      <w:r>
        <w:rPr>
          <w:rStyle w:val="Refdenotaderodap"/>
        </w:rPr>
        <w:footnoteRef/>
      </w:r>
      <w:r w:rsidRPr="002606DB">
        <w:rPr>
          <w:lang w:val="en-US"/>
        </w:rPr>
        <w:t>http://www.fipe.org.br/Content/downloads/indices/fipezap/metodologia/FipeZAP_RevMetodologia_v20140218.pdf</w:t>
      </w:r>
    </w:p>
  </w:footnote>
  <w:footnote w:id="11">
    <w:p w14:paraId="502CDB49" w14:textId="74D4B10A" w:rsidR="007778B9" w:rsidRDefault="007778B9" w:rsidP="007778B9">
      <w:pPr>
        <w:pStyle w:val="Textodenotaderodap"/>
      </w:pPr>
      <w:r>
        <w:rPr>
          <w:rStyle w:val="Refdenotaderodap"/>
        </w:rPr>
        <w:footnoteRef/>
      </w:r>
      <w:r>
        <w:t xml:space="preserve"> </w:t>
      </w:r>
      <w:r w:rsidR="00510AC5" w:rsidRPr="00036270">
        <w:rPr>
          <w:rFonts w:cs="Times New Roman"/>
          <w:szCs w:val="24"/>
        </w:rPr>
        <w:t xml:space="preserve">Banco Central do Brasil – </w:t>
      </w:r>
      <w:r w:rsidR="00510AC5">
        <w:rPr>
          <w:rFonts w:cs="Times New Roman"/>
          <w:szCs w:val="24"/>
        </w:rPr>
        <w:t>Relató</w:t>
      </w:r>
      <w:r w:rsidR="00510AC5" w:rsidRPr="00036270">
        <w:rPr>
          <w:rFonts w:cs="Times New Roman"/>
          <w:szCs w:val="24"/>
        </w:rPr>
        <w:t>rio de Estabilidade Financeira – Setembro 2013</w:t>
      </w:r>
    </w:p>
  </w:footnote>
  <w:footnote w:id="12">
    <w:p w14:paraId="12195F60" w14:textId="77777777" w:rsidR="003326EC" w:rsidRPr="005523D9" w:rsidRDefault="003326EC" w:rsidP="003326EC">
      <w:pPr>
        <w:pStyle w:val="Textodenotaderodap"/>
      </w:pPr>
      <w:r>
        <w:rPr>
          <w:rStyle w:val="Refdenotaderodap"/>
        </w:rPr>
        <w:footnoteRef/>
      </w:r>
      <w:r w:rsidRPr="005523D9">
        <w:t xml:space="preserve"> http://www.secovi.com.br/files/Downloads/balanco-do-mercado-imobiliario-2014-v2pdf.pdf</w:t>
      </w:r>
    </w:p>
  </w:footnote>
  <w:footnote w:id="13">
    <w:p w14:paraId="2C52F54F" w14:textId="77777777" w:rsidR="00CD1E1E" w:rsidRPr="00CF5C0B" w:rsidRDefault="00CD1E1E" w:rsidP="00CD1E1E">
      <w:pPr>
        <w:pStyle w:val="Textodenotaderodap"/>
        <w:rPr>
          <w:lang w:val="en-US"/>
        </w:rPr>
      </w:pPr>
      <w:r>
        <w:rPr>
          <w:rStyle w:val="Refdenotaderodap"/>
        </w:rPr>
        <w:footnoteRef/>
      </w:r>
      <w:r w:rsidRPr="00CF5C0B">
        <w:rPr>
          <w:lang w:val="en-US"/>
        </w:rPr>
        <w:t xml:space="preserve"> </w:t>
      </w:r>
      <w:r w:rsidRPr="004D2DD5">
        <w:rPr>
          <w:rFonts w:cs="Times New Roman"/>
          <w:szCs w:val="24"/>
          <w:lang w:val="en-US"/>
        </w:rPr>
        <w:t>Eurostat - Handbook on Residential</w:t>
      </w:r>
      <w:r>
        <w:rPr>
          <w:rFonts w:cs="Times New Roman"/>
          <w:szCs w:val="24"/>
          <w:lang w:val="en-US"/>
        </w:rPr>
        <w:t xml:space="preserve"> </w:t>
      </w:r>
      <w:r w:rsidRPr="004D2DD5">
        <w:rPr>
          <w:rFonts w:cs="Times New Roman"/>
          <w:szCs w:val="24"/>
          <w:lang w:val="en-US"/>
        </w:rPr>
        <w:t>Property Prices Indices (RPPIs) 2013</w:t>
      </w:r>
    </w:p>
  </w:footnote>
  <w:footnote w:id="14">
    <w:p w14:paraId="5A489D87" w14:textId="7244A319" w:rsidR="007A3D34" w:rsidRPr="00C27AB3" w:rsidRDefault="007A3D34">
      <w:pPr>
        <w:pStyle w:val="Textodenotaderodap"/>
        <w:rPr>
          <w:lang w:val="en-US"/>
        </w:rPr>
      </w:pPr>
      <w:r>
        <w:rPr>
          <w:rStyle w:val="Refdenotaderodap"/>
        </w:rPr>
        <w:footnoteRef/>
      </w:r>
      <w:r w:rsidRPr="00C27AB3">
        <w:rPr>
          <w:lang w:val="en-US"/>
        </w:rPr>
        <w:t xml:space="preserve"> </w:t>
      </w:r>
      <w:r w:rsidRPr="004D2DD5">
        <w:rPr>
          <w:rFonts w:cs="Times New Roman"/>
          <w:szCs w:val="24"/>
          <w:lang w:val="en-US"/>
        </w:rPr>
        <w:t>Eurostat - Handbook on Residential</w:t>
      </w:r>
      <w:r>
        <w:rPr>
          <w:rFonts w:cs="Times New Roman"/>
          <w:szCs w:val="24"/>
          <w:lang w:val="en-US"/>
        </w:rPr>
        <w:t xml:space="preserve"> </w:t>
      </w:r>
      <w:r w:rsidRPr="004D2DD5">
        <w:rPr>
          <w:rFonts w:cs="Times New Roman"/>
          <w:szCs w:val="24"/>
          <w:lang w:val="en-US"/>
        </w:rPr>
        <w:t>Property Prices Indices (RPPIs) 2013</w:t>
      </w:r>
      <w:r w:rsidRPr="00C27AB3">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628390"/>
      <w:docPartObj>
        <w:docPartGallery w:val="Page Numbers (Top of Page)"/>
        <w:docPartUnique/>
      </w:docPartObj>
    </w:sdtPr>
    <w:sdtEndPr/>
    <w:sdtContent>
      <w:p w14:paraId="1F8FC87A" w14:textId="39736A28" w:rsidR="00F229EC" w:rsidRDefault="00F229EC">
        <w:pPr>
          <w:pStyle w:val="Cabealho"/>
          <w:jc w:val="right"/>
        </w:pPr>
        <w:r>
          <w:fldChar w:fldCharType="begin"/>
        </w:r>
        <w:r>
          <w:instrText>PAGE   \* MERGEFORMAT</w:instrText>
        </w:r>
        <w:r>
          <w:fldChar w:fldCharType="separate"/>
        </w:r>
        <w:r w:rsidR="00673294">
          <w:rPr>
            <w:noProof/>
          </w:rPr>
          <w:t>3</w:t>
        </w:r>
        <w:r>
          <w:fldChar w:fldCharType="end"/>
        </w:r>
      </w:p>
    </w:sdtContent>
  </w:sdt>
  <w:p w14:paraId="5399CE02" w14:textId="77777777" w:rsidR="00F229EC" w:rsidRDefault="00F229E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A38F3" w14:textId="0D56BDB5" w:rsidR="00FA4B19" w:rsidRDefault="00FA4B19">
    <w:pPr>
      <w:pStyle w:val="Cabealho"/>
      <w:jc w:val="right"/>
    </w:pPr>
  </w:p>
  <w:p w14:paraId="1E3A1CC8" w14:textId="77777777" w:rsidR="00FA4B19" w:rsidRDefault="00FA4B1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437510"/>
      <w:docPartObj>
        <w:docPartGallery w:val="Page Numbers (Top of Page)"/>
        <w:docPartUnique/>
      </w:docPartObj>
    </w:sdtPr>
    <w:sdtEndPr/>
    <w:sdtContent>
      <w:p w14:paraId="0A67BA95" w14:textId="31318F65" w:rsidR="00BE2DE6" w:rsidRDefault="00BE2DE6">
        <w:pPr>
          <w:pStyle w:val="Cabealho"/>
          <w:jc w:val="right"/>
        </w:pPr>
        <w:r>
          <w:fldChar w:fldCharType="begin"/>
        </w:r>
        <w:r>
          <w:instrText>PAGE   \* MERGEFORMAT</w:instrText>
        </w:r>
        <w:r>
          <w:fldChar w:fldCharType="separate"/>
        </w:r>
        <w:r w:rsidR="00673294">
          <w:rPr>
            <w:noProof/>
          </w:rPr>
          <w:t>1</w:t>
        </w:r>
        <w:r>
          <w:fldChar w:fldCharType="end"/>
        </w:r>
      </w:p>
    </w:sdtContent>
  </w:sdt>
  <w:p w14:paraId="57E30F99" w14:textId="77777777" w:rsidR="00BE2DE6" w:rsidRDefault="00BE2DE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AD0"/>
    <w:multiLevelType w:val="multilevel"/>
    <w:tmpl w:val="5CAEE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A5718D"/>
    <w:multiLevelType w:val="multilevel"/>
    <w:tmpl w:val="07B04308"/>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7362265"/>
    <w:multiLevelType w:val="hybridMultilevel"/>
    <w:tmpl w:val="B2F612B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8427FC6"/>
    <w:multiLevelType w:val="multilevel"/>
    <w:tmpl w:val="46463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157998"/>
    <w:multiLevelType w:val="multilevel"/>
    <w:tmpl w:val="3B629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D5"/>
    <w:rsid w:val="0000005C"/>
    <w:rsid w:val="00003A3C"/>
    <w:rsid w:val="00003DB7"/>
    <w:rsid w:val="0000409C"/>
    <w:rsid w:val="0000415C"/>
    <w:rsid w:val="00004FE5"/>
    <w:rsid w:val="0000630A"/>
    <w:rsid w:val="00010BC8"/>
    <w:rsid w:val="00011BF3"/>
    <w:rsid w:val="0001229B"/>
    <w:rsid w:val="000126A2"/>
    <w:rsid w:val="00012ABD"/>
    <w:rsid w:val="0001555B"/>
    <w:rsid w:val="0001799A"/>
    <w:rsid w:val="00020929"/>
    <w:rsid w:val="00021433"/>
    <w:rsid w:val="00025BA9"/>
    <w:rsid w:val="00031E36"/>
    <w:rsid w:val="000340C3"/>
    <w:rsid w:val="00034E18"/>
    <w:rsid w:val="00036270"/>
    <w:rsid w:val="0003681D"/>
    <w:rsid w:val="00036D06"/>
    <w:rsid w:val="00037C0E"/>
    <w:rsid w:val="0004168C"/>
    <w:rsid w:val="00043229"/>
    <w:rsid w:val="00046F39"/>
    <w:rsid w:val="000519E5"/>
    <w:rsid w:val="00051FDB"/>
    <w:rsid w:val="000524E3"/>
    <w:rsid w:val="00052D02"/>
    <w:rsid w:val="00052D68"/>
    <w:rsid w:val="000555E5"/>
    <w:rsid w:val="000562DB"/>
    <w:rsid w:val="000607BC"/>
    <w:rsid w:val="00060D1F"/>
    <w:rsid w:val="000626BA"/>
    <w:rsid w:val="00065F43"/>
    <w:rsid w:val="0006710E"/>
    <w:rsid w:val="00067E57"/>
    <w:rsid w:val="00070003"/>
    <w:rsid w:val="000726A5"/>
    <w:rsid w:val="000736D0"/>
    <w:rsid w:val="00073F1C"/>
    <w:rsid w:val="000742CE"/>
    <w:rsid w:val="000748FC"/>
    <w:rsid w:val="00082AFB"/>
    <w:rsid w:val="00082D91"/>
    <w:rsid w:val="00083152"/>
    <w:rsid w:val="00083D65"/>
    <w:rsid w:val="00085BE6"/>
    <w:rsid w:val="00086CB8"/>
    <w:rsid w:val="00090871"/>
    <w:rsid w:val="00092C03"/>
    <w:rsid w:val="00093742"/>
    <w:rsid w:val="00094CDE"/>
    <w:rsid w:val="00094E3F"/>
    <w:rsid w:val="00095EC8"/>
    <w:rsid w:val="00097197"/>
    <w:rsid w:val="000A6BC6"/>
    <w:rsid w:val="000A6BE9"/>
    <w:rsid w:val="000B4151"/>
    <w:rsid w:val="000B46B4"/>
    <w:rsid w:val="000B56E3"/>
    <w:rsid w:val="000C09A2"/>
    <w:rsid w:val="000C0F68"/>
    <w:rsid w:val="000C1608"/>
    <w:rsid w:val="000C5912"/>
    <w:rsid w:val="000D2AE5"/>
    <w:rsid w:val="000D44A6"/>
    <w:rsid w:val="000D4E19"/>
    <w:rsid w:val="000D51EF"/>
    <w:rsid w:val="000D6243"/>
    <w:rsid w:val="000D740C"/>
    <w:rsid w:val="000D7780"/>
    <w:rsid w:val="000E1B14"/>
    <w:rsid w:val="000E2AD0"/>
    <w:rsid w:val="000E2C46"/>
    <w:rsid w:val="000E4A58"/>
    <w:rsid w:val="000F00A1"/>
    <w:rsid w:val="000F04C3"/>
    <w:rsid w:val="000F32FC"/>
    <w:rsid w:val="000F363D"/>
    <w:rsid w:val="000F6645"/>
    <w:rsid w:val="001013A7"/>
    <w:rsid w:val="0010181A"/>
    <w:rsid w:val="00102527"/>
    <w:rsid w:val="001031C0"/>
    <w:rsid w:val="0010403A"/>
    <w:rsid w:val="00107352"/>
    <w:rsid w:val="0011033C"/>
    <w:rsid w:val="0011068A"/>
    <w:rsid w:val="00114187"/>
    <w:rsid w:val="00114B63"/>
    <w:rsid w:val="00114CE4"/>
    <w:rsid w:val="00115841"/>
    <w:rsid w:val="001203DC"/>
    <w:rsid w:val="00121E1D"/>
    <w:rsid w:val="00121FAB"/>
    <w:rsid w:val="0012407A"/>
    <w:rsid w:val="00124542"/>
    <w:rsid w:val="00133C9D"/>
    <w:rsid w:val="0013408C"/>
    <w:rsid w:val="001342C4"/>
    <w:rsid w:val="001374C4"/>
    <w:rsid w:val="00137B5D"/>
    <w:rsid w:val="00140B44"/>
    <w:rsid w:val="0014128E"/>
    <w:rsid w:val="00142191"/>
    <w:rsid w:val="00143FC2"/>
    <w:rsid w:val="0015170C"/>
    <w:rsid w:val="00152961"/>
    <w:rsid w:val="00155519"/>
    <w:rsid w:val="00156BE1"/>
    <w:rsid w:val="00163397"/>
    <w:rsid w:val="00164578"/>
    <w:rsid w:val="001649CF"/>
    <w:rsid w:val="00167322"/>
    <w:rsid w:val="001673AC"/>
    <w:rsid w:val="00167AE5"/>
    <w:rsid w:val="001703B7"/>
    <w:rsid w:val="00172776"/>
    <w:rsid w:val="00175C61"/>
    <w:rsid w:val="001772B9"/>
    <w:rsid w:val="0018260B"/>
    <w:rsid w:val="001851EF"/>
    <w:rsid w:val="00185716"/>
    <w:rsid w:val="00186004"/>
    <w:rsid w:val="001862BE"/>
    <w:rsid w:val="0018701D"/>
    <w:rsid w:val="00187707"/>
    <w:rsid w:val="00190A09"/>
    <w:rsid w:val="00190C6B"/>
    <w:rsid w:val="00190F59"/>
    <w:rsid w:val="00195AA3"/>
    <w:rsid w:val="00197493"/>
    <w:rsid w:val="001A1BE1"/>
    <w:rsid w:val="001A3B1F"/>
    <w:rsid w:val="001A4B2E"/>
    <w:rsid w:val="001A5A51"/>
    <w:rsid w:val="001A603A"/>
    <w:rsid w:val="001A72FB"/>
    <w:rsid w:val="001A77A6"/>
    <w:rsid w:val="001B260E"/>
    <w:rsid w:val="001B3386"/>
    <w:rsid w:val="001B4C4F"/>
    <w:rsid w:val="001C0A5B"/>
    <w:rsid w:val="001C1449"/>
    <w:rsid w:val="001C252E"/>
    <w:rsid w:val="001C3333"/>
    <w:rsid w:val="001C5AD9"/>
    <w:rsid w:val="001C6FE6"/>
    <w:rsid w:val="001D15F8"/>
    <w:rsid w:val="001D24D2"/>
    <w:rsid w:val="001D4BAA"/>
    <w:rsid w:val="001D4CFB"/>
    <w:rsid w:val="001D58D0"/>
    <w:rsid w:val="001E2D5F"/>
    <w:rsid w:val="001E4FFC"/>
    <w:rsid w:val="001E6F74"/>
    <w:rsid w:val="001E7590"/>
    <w:rsid w:val="001E782B"/>
    <w:rsid w:val="001F4898"/>
    <w:rsid w:val="001F6F1D"/>
    <w:rsid w:val="00202A50"/>
    <w:rsid w:val="00203A49"/>
    <w:rsid w:val="00204AB8"/>
    <w:rsid w:val="002056C0"/>
    <w:rsid w:val="002118D8"/>
    <w:rsid w:val="002149BC"/>
    <w:rsid w:val="00214FF4"/>
    <w:rsid w:val="002162CC"/>
    <w:rsid w:val="00216DC3"/>
    <w:rsid w:val="0022155A"/>
    <w:rsid w:val="00222367"/>
    <w:rsid w:val="00223F57"/>
    <w:rsid w:val="0022406D"/>
    <w:rsid w:val="00224E5E"/>
    <w:rsid w:val="00225C0C"/>
    <w:rsid w:val="00225EAB"/>
    <w:rsid w:val="00227041"/>
    <w:rsid w:val="00227549"/>
    <w:rsid w:val="002326EA"/>
    <w:rsid w:val="00233321"/>
    <w:rsid w:val="00233BC9"/>
    <w:rsid w:val="00234061"/>
    <w:rsid w:val="00240A35"/>
    <w:rsid w:val="0024128B"/>
    <w:rsid w:val="0024180D"/>
    <w:rsid w:val="00243175"/>
    <w:rsid w:val="00245968"/>
    <w:rsid w:val="00253E5F"/>
    <w:rsid w:val="002545A5"/>
    <w:rsid w:val="002569B0"/>
    <w:rsid w:val="002606DB"/>
    <w:rsid w:val="00261994"/>
    <w:rsid w:val="00270168"/>
    <w:rsid w:val="002706A2"/>
    <w:rsid w:val="0027116E"/>
    <w:rsid w:val="00271173"/>
    <w:rsid w:val="00271F2C"/>
    <w:rsid w:val="002722CF"/>
    <w:rsid w:val="00272710"/>
    <w:rsid w:val="00275BE3"/>
    <w:rsid w:val="00275EB2"/>
    <w:rsid w:val="00276FA1"/>
    <w:rsid w:val="00280BE7"/>
    <w:rsid w:val="0028317B"/>
    <w:rsid w:val="0028380B"/>
    <w:rsid w:val="002856D0"/>
    <w:rsid w:val="00286F12"/>
    <w:rsid w:val="0028727A"/>
    <w:rsid w:val="00287D4D"/>
    <w:rsid w:val="002902A1"/>
    <w:rsid w:val="00290315"/>
    <w:rsid w:val="002903D7"/>
    <w:rsid w:val="0029112F"/>
    <w:rsid w:val="002919C3"/>
    <w:rsid w:val="00292DF2"/>
    <w:rsid w:val="00293480"/>
    <w:rsid w:val="002938F5"/>
    <w:rsid w:val="00294318"/>
    <w:rsid w:val="00296CB4"/>
    <w:rsid w:val="002A225D"/>
    <w:rsid w:val="002A24D6"/>
    <w:rsid w:val="002A3B6B"/>
    <w:rsid w:val="002A42F2"/>
    <w:rsid w:val="002A5EAC"/>
    <w:rsid w:val="002A6884"/>
    <w:rsid w:val="002A719F"/>
    <w:rsid w:val="002B10B8"/>
    <w:rsid w:val="002B34D8"/>
    <w:rsid w:val="002B3882"/>
    <w:rsid w:val="002B43CC"/>
    <w:rsid w:val="002B446F"/>
    <w:rsid w:val="002B590B"/>
    <w:rsid w:val="002B6EC8"/>
    <w:rsid w:val="002B7997"/>
    <w:rsid w:val="002C1220"/>
    <w:rsid w:val="002C154F"/>
    <w:rsid w:val="002C31C4"/>
    <w:rsid w:val="002C4378"/>
    <w:rsid w:val="002C586B"/>
    <w:rsid w:val="002C6DA1"/>
    <w:rsid w:val="002C768D"/>
    <w:rsid w:val="002D2E57"/>
    <w:rsid w:val="002D30C2"/>
    <w:rsid w:val="002D3B44"/>
    <w:rsid w:val="002D3D3F"/>
    <w:rsid w:val="002D45E6"/>
    <w:rsid w:val="002D5D59"/>
    <w:rsid w:val="002D7004"/>
    <w:rsid w:val="002E203E"/>
    <w:rsid w:val="002E2304"/>
    <w:rsid w:val="002E3DF7"/>
    <w:rsid w:val="002E47B7"/>
    <w:rsid w:val="002E5029"/>
    <w:rsid w:val="002E7818"/>
    <w:rsid w:val="002F1A6F"/>
    <w:rsid w:val="002F2299"/>
    <w:rsid w:val="002F6D3F"/>
    <w:rsid w:val="00300BFC"/>
    <w:rsid w:val="003015A5"/>
    <w:rsid w:val="00301E0A"/>
    <w:rsid w:val="00302CC8"/>
    <w:rsid w:val="00305BD7"/>
    <w:rsid w:val="0030605C"/>
    <w:rsid w:val="003073B5"/>
    <w:rsid w:val="00307619"/>
    <w:rsid w:val="003102D9"/>
    <w:rsid w:val="0031256C"/>
    <w:rsid w:val="0032411E"/>
    <w:rsid w:val="00324318"/>
    <w:rsid w:val="00325B12"/>
    <w:rsid w:val="003322ED"/>
    <w:rsid w:val="003326EC"/>
    <w:rsid w:val="003360D6"/>
    <w:rsid w:val="00341027"/>
    <w:rsid w:val="0034139D"/>
    <w:rsid w:val="00342D4A"/>
    <w:rsid w:val="00343A36"/>
    <w:rsid w:val="00343AEE"/>
    <w:rsid w:val="003446F6"/>
    <w:rsid w:val="0034751C"/>
    <w:rsid w:val="00353424"/>
    <w:rsid w:val="00354BD4"/>
    <w:rsid w:val="003603AB"/>
    <w:rsid w:val="0036062E"/>
    <w:rsid w:val="003615E2"/>
    <w:rsid w:val="003619F5"/>
    <w:rsid w:val="003624B4"/>
    <w:rsid w:val="00362BAB"/>
    <w:rsid w:val="003637AF"/>
    <w:rsid w:val="00364C8C"/>
    <w:rsid w:val="00365072"/>
    <w:rsid w:val="0036593F"/>
    <w:rsid w:val="003714C2"/>
    <w:rsid w:val="00376857"/>
    <w:rsid w:val="00376C98"/>
    <w:rsid w:val="003809FA"/>
    <w:rsid w:val="003816BD"/>
    <w:rsid w:val="003827A8"/>
    <w:rsid w:val="00384726"/>
    <w:rsid w:val="00385BC2"/>
    <w:rsid w:val="00386EC8"/>
    <w:rsid w:val="00394E47"/>
    <w:rsid w:val="003962A7"/>
    <w:rsid w:val="003970D2"/>
    <w:rsid w:val="00397EB7"/>
    <w:rsid w:val="003A0B0D"/>
    <w:rsid w:val="003A225B"/>
    <w:rsid w:val="003A336B"/>
    <w:rsid w:val="003A5960"/>
    <w:rsid w:val="003A7144"/>
    <w:rsid w:val="003B17BC"/>
    <w:rsid w:val="003B3164"/>
    <w:rsid w:val="003B58C9"/>
    <w:rsid w:val="003B70E3"/>
    <w:rsid w:val="003C40CC"/>
    <w:rsid w:val="003C488D"/>
    <w:rsid w:val="003C5546"/>
    <w:rsid w:val="003C7940"/>
    <w:rsid w:val="003D14E3"/>
    <w:rsid w:val="003D2ACF"/>
    <w:rsid w:val="003D44C2"/>
    <w:rsid w:val="003D70B8"/>
    <w:rsid w:val="003E03C6"/>
    <w:rsid w:val="003E3538"/>
    <w:rsid w:val="003E5870"/>
    <w:rsid w:val="003E61A3"/>
    <w:rsid w:val="003E634F"/>
    <w:rsid w:val="003E6BF6"/>
    <w:rsid w:val="003E7020"/>
    <w:rsid w:val="003F01A1"/>
    <w:rsid w:val="003F1145"/>
    <w:rsid w:val="003F221D"/>
    <w:rsid w:val="003F35BA"/>
    <w:rsid w:val="003F414E"/>
    <w:rsid w:val="003F5897"/>
    <w:rsid w:val="003F67CD"/>
    <w:rsid w:val="004036B1"/>
    <w:rsid w:val="00405C09"/>
    <w:rsid w:val="00407CC7"/>
    <w:rsid w:val="004109F7"/>
    <w:rsid w:val="004114A5"/>
    <w:rsid w:val="00412DDF"/>
    <w:rsid w:val="00413DE7"/>
    <w:rsid w:val="004143BC"/>
    <w:rsid w:val="00414C74"/>
    <w:rsid w:val="0042040F"/>
    <w:rsid w:val="0042281C"/>
    <w:rsid w:val="004231C3"/>
    <w:rsid w:val="00425667"/>
    <w:rsid w:val="0042767D"/>
    <w:rsid w:val="00427E69"/>
    <w:rsid w:val="004304E5"/>
    <w:rsid w:val="00431416"/>
    <w:rsid w:val="00432A61"/>
    <w:rsid w:val="00434586"/>
    <w:rsid w:val="00436027"/>
    <w:rsid w:val="00436321"/>
    <w:rsid w:val="00437413"/>
    <w:rsid w:val="004406B7"/>
    <w:rsid w:val="00442BFE"/>
    <w:rsid w:val="00444327"/>
    <w:rsid w:val="00445537"/>
    <w:rsid w:val="004517CB"/>
    <w:rsid w:val="004542F6"/>
    <w:rsid w:val="0045598A"/>
    <w:rsid w:val="00457CBD"/>
    <w:rsid w:val="00463A39"/>
    <w:rsid w:val="00463CDB"/>
    <w:rsid w:val="00463CE1"/>
    <w:rsid w:val="00465B78"/>
    <w:rsid w:val="004712B2"/>
    <w:rsid w:val="0047189B"/>
    <w:rsid w:val="004736D9"/>
    <w:rsid w:val="00474B11"/>
    <w:rsid w:val="004750F4"/>
    <w:rsid w:val="004767A3"/>
    <w:rsid w:val="00476B59"/>
    <w:rsid w:val="00477D64"/>
    <w:rsid w:val="00477FF0"/>
    <w:rsid w:val="00480EF4"/>
    <w:rsid w:val="00482569"/>
    <w:rsid w:val="00483D66"/>
    <w:rsid w:val="00483E19"/>
    <w:rsid w:val="0048431A"/>
    <w:rsid w:val="00484F8F"/>
    <w:rsid w:val="00486BEE"/>
    <w:rsid w:val="00486CEE"/>
    <w:rsid w:val="004873F2"/>
    <w:rsid w:val="0049257E"/>
    <w:rsid w:val="004925F7"/>
    <w:rsid w:val="00492973"/>
    <w:rsid w:val="00493244"/>
    <w:rsid w:val="004978B7"/>
    <w:rsid w:val="004A398F"/>
    <w:rsid w:val="004A5BDC"/>
    <w:rsid w:val="004B21B9"/>
    <w:rsid w:val="004B3B66"/>
    <w:rsid w:val="004B7206"/>
    <w:rsid w:val="004C119F"/>
    <w:rsid w:val="004C333C"/>
    <w:rsid w:val="004D04AF"/>
    <w:rsid w:val="004D0A7E"/>
    <w:rsid w:val="004D0FAE"/>
    <w:rsid w:val="004D270F"/>
    <w:rsid w:val="004D2DD5"/>
    <w:rsid w:val="004E0887"/>
    <w:rsid w:val="004E284F"/>
    <w:rsid w:val="004E51F0"/>
    <w:rsid w:val="004E6296"/>
    <w:rsid w:val="004E68D8"/>
    <w:rsid w:val="004E6CDF"/>
    <w:rsid w:val="004E714E"/>
    <w:rsid w:val="004E7E83"/>
    <w:rsid w:val="004F4627"/>
    <w:rsid w:val="004F5366"/>
    <w:rsid w:val="004F6BE8"/>
    <w:rsid w:val="004F6C83"/>
    <w:rsid w:val="00503FA7"/>
    <w:rsid w:val="00504A3E"/>
    <w:rsid w:val="00505927"/>
    <w:rsid w:val="00505C29"/>
    <w:rsid w:val="00510AC5"/>
    <w:rsid w:val="00524695"/>
    <w:rsid w:val="00525132"/>
    <w:rsid w:val="005253CD"/>
    <w:rsid w:val="005259DE"/>
    <w:rsid w:val="00525C35"/>
    <w:rsid w:val="00525F1B"/>
    <w:rsid w:val="00527030"/>
    <w:rsid w:val="0053262A"/>
    <w:rsid w:val="00533693"/>
    <w:rsid w:val="00535833"/>
    <w:rsid w:val="00535C01"/>
    <w:rsid w:val="00536424"/>
    <w:rsid w:val="00537A8E"/>
    <w:rsid w:val="00542EC3"/>
    <w:rsid w:val="00543AFA"/>
    <w:rsid w:val="00543BA3"/>
    <w:rsid w:val="00544D46"/>
    <w:rsid w:val="00545701"/>
    <w:rsid w:val="0055432F"/>
    <w:rsid w:val="00555AF3"/>
    <w:rsid w:val="005603DC"/>
    <w:rsid w:val="005618D7"/>
    <w:rsid w:val="0056292F"/>
    <w:rsid w:val="005629B8"/>
    <w:rsid w:val="00565724"/>
    <w:rsid w:val="005739F0"/>
    <w:rsid w:val="00574F54"/>
    <w:rsid w:val="00575CB6"/>
    <w:rsid w:val="00575DDF"/>
    <w:rsid w:val="00581203"/>
    <w:rsid w:val="005817AB"/>
    <w:rsid w:val="005818DB"/>
    <w:rsid w:val="00585285"/>
    <w:rsid w:val="00586BA4"/>
    <w:rsid w:val="00586C2B"/>
    <w:rsid w:val="00593EAB"/>
    <w:rsid w:val="005942EB"/>
    <w:rsid w:val="00595606"/>
    <w:rsid w:val="00596ECC"/>
    <w:rsid w:val="005A21E5"/>
    <w:rsid w:val="005A2497"/>
    <w:rsid w:val="005A3CBC"/>
    <w:rsid w:val="005A48BA"/>
    <w:rsid w:val="005A4D11"/>
    <w:rsid w:val="005A60FA"/>
    <w:rsid w:val="005A6853"/>
    <w:rsid w:val="005B0ACB"/>
    <w:rsid w:val="005B18EE"/>
    <w:rsid w:val="005B2911"/>
    <w:rsid w:val="005B5314"/>
    <w:rsid w:val="005B5CAC"/>
    <w:rsid w:val="005D39E0"/>
    <w:rsid w:val="005D50CD"/>
    <w:rsid w:val="005D5373"/>
    <w:rsid w:val="005E14BB"/>
    <w:rsid w:val="005E1508"/>
    <w:rsid w:val="005E2BF5"/>
    <w:rsid w:val="005E41BE"/>
    <w:rsid w:val="005E4CB2"/>
    <w:rsid w:val="005E6F7F"/>
    <w:rsid w:val="005E726E"/>
    <w:rsid w:val="00600647"/>
    <w:rsid w:val="006016E5"/>
    <w:rsid w:val="00605608"/>
    <w:rsid w:val="00606037"/>
    <w:rsid w:val="0060722A"/>
    <w:rsid w:val="00615232"/>
    <w:rsid w:val="00615CD1"/>
    <w:rsid w:val="00615E99"/>
    <w:rsid w:val="00617241"/>
    <w:rsid w:val="006200FF"/>
    <w:rsid w:val="006228C0"/>
    <w:rsid w:val="00622E79"/>
    <w:rsid w:val="00623BC8"/>
    <w:rsid w:val="006250AF"/>
    <w:rsid w:val="00625124"/>
    <w:rsid w:val="00625A60"/>
    <w:rsid w:val="00631B77"/>
    <w:rsid w:val="00633B93"/>
    <w:rsid w:val="00636FA6"/>
    <w:rsid w:val="0064183C"/>
    <w:rsid w:val="00642A99"/>
    <w:rsid w:val="00642EFD"/>
    <w:rsid w:val="00642EFF"/>
    <w:rsid w:val="006444C8"/>
    <w:rsid w:val="00644576"/>
    <w:rsid w:val="006469D7"/>
    <w:rsid w:val="00646C30"/>
    <w:rsid w:val="00647E11"/>
    <w:rsid w:val="006502F2"/>
    <w:rsid w:val="00651403"/>
    <w:rsid w:val="00652947"/>
    <w:rsid w:val="006531F3"/>
    <w:rsid w:val="00653431"/>
    <w:rsid w:val="006561AD"/>
    <w:rsid w:val="006561EF"/>
    <w:rsid w:val="00662492"/>
    <w:rsid w:val="00663203"/>
    <w:rsid w:val="006653A5"/>
    <w:rsid w:val="006659A4"/>
    <w:rsid w:val="006706B8"/>
    <w:rsid w:val="0067112F"/>
    <w:rsid w:val="006713EF"/>
    <w:rsid w:val="006717FC"/>
    <w:rsid w:val="00671AA0"/>
    <w:rsid w:val="00673294"/>
    <w:rsid w:val="00676BB2"/>
    <w:rsid w:val="00680471"/>
    <w:rsid w:val="00680B31"/>
    <w:rsid w:val="00681236"/>
    <w:rsid w:val="0068201D"/>
    <w:rsid w:val="00682A3E"/>
    <w:rsid w:val="00684F0D"/>
    <w:rsid w:val="00684F10"/>
    <w:rsid w:val="00686D64"/>
    <w:rsid w:val="00694B0C"/>
    <w:rsid w:val="00695D16"/>
    <w:rsid w:val="0069632B"/>
    <w:rsid w:val="006A0911"/>
    <w:rsid w:val="006A1158"/>
    <w:rsid w:val="006A12BF"/>
    <w:rsid w:val="006A1A25"/>
    <w:rsid w:val="006A60E8"/>
    <w:rsid w:val="006B2495"/>
    <w:rsid w:val="006B2CEC"/>
    <w:rsid w:val="006B35D9"/>
    <w:rsid w:val="006B3D98"/>
    <w:rsid w:val="006B4EBA"/>
    <w:rsid w:val="006B4F94"/>
    <w:rsid w:val="006B51BE"/>
    <w:rsid w:val="006B649E"/>
    <w:rsid w:val="006B6608"/>
    <w:rsid w:val="006C1DA0"/>
    <w:rsid w:val="006C6AF5"/>
    <w:rsid w:val="006C6B4F"/>
    <w:rsid w:val="006C6FC3"/>
    <w:rsid w:val="006C78DC"/>
    <w:rsid w:val="006D3900"/>
    <w:rsid w:val="006D656D"/>
    <w:rsid w:val="006E10B9"/>
    <w:rsid w:val="006E2221"/>
    <w:rsid w:val="006E54D0"/>
    <w:rsid w:val="006E5846"/>
    <w:rsid w:val="006E5B75"/>
    <w:rsid w:val="006E6154"/>
    <w:rsid w:val="006E6E44"/>
    <w:rsid w:val="006E6E52"/>
    <w:rsid w:val="0070242C"/>
    <w:rsid w:val="007025F2"/>
    <w:rsid w:val="00702A7F"/>
    <w:rsid w:val="00703086"/>
    <w:rsid w:val="00704270"/>
    <w:rsid w:val="00705093"/>
    <w:rsid w:val="00706D17"/>
    <w:rsid w:val="00711DA9"/>
    <w:rsid w:val="007124F1"/>
    <w:rsid w:val="00714591"/>
    <w:rsid w:val="00714E3B"/>
    <w:rsid w:val="0071612E"/>
    <w:rsid w:val="007177AA"/>
    <w:rsid w:val="00722F4A"/>
    <w:rsid w:val="0072459C"/>
    <w:rsid w:val="00724CE0"/>
    <w:rsid w:val="0073302A"/>
    <w:rsid w:val="00734F42"/>
    <w:rsid w:val="00736957"/>
    <w:rsid w:val="007374C4"/>
    <w:rsid w:val="00740540"/>
    <w:rsid w:val="00740EDE"/>
    <w:rsid w:val="00741F43"/>
    <w:rsid w:val="00744731"/>
    <w:rsid w:val="00744AD1"/>
    <w:rsid w:val="007455B3"/>
    <w:rsid w:val="00747CC3"/>
    <w:rsid w:val="007506D9"/>
    <w:rsid w:val="00750F47"/>
    <w:rsid w:val="00751132"/>
    <w:rsid w:val="00753D43"/>
    <w:rsid w:val="00755298"/>
    <w:rsid w:val="00755D44"/>
    <w:rsid w:val="00756184"/>
    <w:rsid w:val="00760464"/>
    <w:rsid w:val="00764EF8"/>
    <w:rsid w:val="00767A2F"/>
    <w:rsid w:val="00771C3C"/>
    <w:rsid w:val="007724DC"/>
    <w:rsid w:val="00774343"/>
    <w:rsid w:val="0077597C"/>
    <w:rsid w:val="007778B9"/>
    <w:rsid w:val="00781305"/>
    <w:rsid w:val="0078250B"/>
    <w:rsid w:val="007855C1"/>
    <w:rsid w:val="00786AE9"/>
    <w:rsid w:val="00792740"/>
    <w:rsid w:val="0079339E"/>
    <w:rsid w:val="00793B3D"/>
    <w:rsid w:val="00793EF3"/>
    <w:rsid w:val="007A1B9F"/>
    <w:rsid w:val="007A205F"/>
    <w:rsid w:val="007A3D34"/>
    <w:rsid w:val="007A51C5"/>
    <w:rsid w:val="007A558B"/>
    <w:rsid w:val="007B0FA4"/>
    <w:rsid w:val="007B1C63"/>
    <w:rsid w:val="007B265E"/>
    <w:rsid w:val="007B2B5D"/>
    <w:rsid w:val="007B31A2"/>
    <w:rsid w:val="007B4EB5"/>
    <w:rsid w:val="007B7CE6"/>
    <w:rsid w:val="007C2A67"/>
    <w:rsid w:val="007C7938"/>
    <w:rsid w:val="007D0435"/>
    <w:rsid w:val="007D41B1"/>
    <w:rsid w:val="007D64A7"/>
    <w:rsid w:val="007D6907"/>
    <w:rsid w:val="007D713F"/>
    <w:rsid w:val="007D76E0"/>
    <w:rsid w:val="007E00D1"/>
    <w:rsid w:val="007E0223"/>
    <w:rsid w:val="007E26E4"/>
    <w:rsid w:val="007E3DB2"/>
    <w:rsid w:val="007E4240"/>
    <w:rsid w:val="007E77F4"/>
    <w:rsid w:val="007F0D0C"/>
    <w:rsid w:val="007F32A5"/>
    <w:rsid w:val="00801388"/>
    <w:rsid w:val="00801DAD"/>
    <w:rsid w:val="00802A48"/>
    <w:rsid w:val="00812146"/>
    <w:rsid w:val="00814349"/>
    <w:rsid w:val="008167EA"/>
    <w:rsid w:val="00822705"/>
    <w:rsid w:val="0082297A"/>
    <w:rsid w:val="008230E3"/>
    <w:rsid w:val="008234BB"/>
    <w:rsid w:val="00824E86"/>
    <w:rsid w:val="00830ECE"/>
    <w:rsid w:val="008316E7"/>
    <w:rsid w:val="00833E5B"/>
    <w:rsid w:val="00834E85"/>
    <w:rsid w:val="00835DE9"/>
    <w:rsid w:val="00835EB8"/>
    <w:rsid w:val="0083649E"/>
    <w:rsid w:val="00841CD4"/>
    <w:rsid w:val="00842D24"/>
    <w:rsid w:val="008432C3"/>
    <w:rsid w:val="0084529F"/>
    <w:rsid w:val="00846B94"/>
    <w:rsid w:val="00850221"/>
    <w:rsid w:val="008509E4"/>
    <w:rsid w:val="00850D9B"/>
    <w:rsid w:val="00851874"/>
    <w:rsid w:val="008566D1"/>
    <w:rsid w:val="00857114"/>
    <w:rsid w:val="00861B33"/>
    <w:rsid w:val="00863A4A"/>
    <w:rsid w:val="00863E13"/>
    <w:rsid w:val="0086544D"/>
    <w:rsid w:val="00872399"/>
    <w:rsid w:val="00874049"/>
    <w:rsid w:val="008758A0"/>
    <w:rsid w:val="00876608"/>
    <w:rsid w:val="0088194A"/>
    <w:rsid w:val="00882198"/>
    <w:rsid w:val="008827E4"/>
    <w:rsid w:val="008860BF"/>
    <w:rsid w:val="00887E25"/>
    <w:rsid w:val="008904B2"/>
    <w:rsid w:val="00891503"/>
    <w:rsid w:val="00892B5F"/>
    <w:rsid w:val="008931C1"/>
    <w:rsid w:val="00894098"/>
    <w:rsid w:val="00895934"/>
    <w:rsid w:val="008968DB"/>
    <w:rsid w:val="008A004B"/>
    <w:rsid w:val="008A0DA8"/>
    <w:rsid w:val="008A3B07"/>
    <w:rsid w:val="008A4411"/>
    <w:rsid w:val="008A598B"/>
    <w:rsid w:val="008B1D3D"/>
    <w:rsid w:val="008B3ACD"/>
    <w:rsid w:val="008B4DD9"/>
    <w:rsid w:val="008B637D"/>
    <w:rsid w:val="008B7B88"/>
    <w:rsid w:val="008C39D4"/>
    <w:rsid w:val="008C4BAE"/>
    <w:rsid w:val="008C617D"/>
    <w:rsid w:val="008D13DF"/>
    <w:rsid w:val="008D20D2"/>
    <w:rsid w:val="008D5120"/>
    <w:rsid w:val="008D606E"/>
    <w:rsid w:val="008D68DD"/>
    <w:rsid w:val="008D7C71"/>
    <w:rsid w:val="008E2ACC"/>
    <w:rsid w:val="008E5EBD"/>
    <w:rsid w:val="008E6804"/>
    <w:rsid w:val="008E6E59"/>
    <w:rsid w:val="008E771F"/>
    <w:rsid w:val="008F4A11"/>
    <w:rsid w:val="0090005C"/>
    <w:rsid w:val="00900BFE"/>
    <w:rsid w:val="0090162F"/>
    <w:rsid w:val="00902BD9"/>
    <w:rsid w:val="00902F80"/>
    <w:rsid w:val="0090406A"/>
    <w:rsid w:val="00907CF3"/>
    <w:rsid w:val="00907DD4"/>
    <w:rsid w:val="00910051"/>
    <w:rsid w:val="00910DB3"/>
    <w:rsid w:val="009151AE"/>
    <w:rsid w:val="009155A6"/>
    <w:rsid w:val="00915773"/>
    <w:rsid w:val="0091730A"/>
    <w:rsid w:val="009224CE"/>
    <w:rsid w:val="00923326"/>
    <w:rsid w:val="009242D4"/>
    <w:rsid w:val="00925C63"/>
    <w:rsid w:val="00926E7A"/>
    <w:rsid w:val="00930220"/>
    <w:rsid w:val="0093048C"/>
    <w:rsid w:val="00932053"/>
    <w:rsid w:val="00932659"/>
    <w:rsid w:val="00932A1B"/>
    <w:rsid w:val="00933A3B"/>
    <w:rsid w:val="00933AB8"/>
    <w:rsid w:val="00933F63"/>
    <w:rsid w:val="00940569"/>
    <w:rsid w:val="0094064D"/>
    <w:rsid w:val="00943660"/>
    <w:rsid w:val="00944F5C"/>
    <w:rsid w:val="00945CF5"/>
    <w:rsid w:val="0094665E"/>
    <w:rsid w:val="00947BED"/>
    <w:rsid w:val="009500C1"/>
    <w:rsid w:val="00952A36"/>
    <w:rsid w:val="00952CEA"/>
    <w:rsid w:val="00954622"/>
    <w:rsid w:val="00955A7D"/>
    <w:rsid w:val="0095663A"/>
    <w:rsid w:val="00960042"/>
    <w:rsid w:val="009608F9"/>
    <w:rsid w:val="00962DF1"/>
    <w:rsid w:val="009762D0"/>
    <w:rsid w:val="00976A7D"/>
    <w:rsid w:val="00977011"/>
    <w:rsid w:val="009770D2"/>
    <w:rsid w:val="00977DD9"/>
    <w:rsid w:val="00980460"/>
    <w:rsid w:val="00981006"/>
    <w:rsid w:val="00982CE0"/>
    <w:rsid w:val="00984A16"/>
    <w:rsid w:val="009857A4"/>
    <w:rsid w:val="00990DBB"/>
    <w:rsid w:val="00995769"/>
    <w:rsid w:val="00995BA5"/>
    <w:rsid w:val="00997729"/>
    <w:rsid w:val="009A0286"/>
    <w:rsid w:val="009B1577"/>
    <w:rsid w:val="009B1F7D"/>
    <w:rsid w:val="009B38F2"/>
    <w:rsid w:val="009B69B4"/>
    <w:rsid w:val="009B6DBD"/>
    <w:rsid w:val="009C200B"/>
    <w:rsid w:val="009C4CD2"/>
    <w:rsid w:val="009C50C9"/>
    <w:rsid w:val="009C6453"/>
    <w:rsid w:val="009C676D"/>
    <w:rsid w:val="009C67D4"/>
    <w:rsid w:val="009D18DB"/>
    <w:rsid w:val="009D2654"/>
    <w:rsid w:val="009D533B"/>
    <w:rsid w:val="009D5B74"/>
    <w:rsid w:val="009D636E"/>
    <w:rsid w:val="009D6449"/>
    <w:rsid w:val="009E02BB"/>
    <w:rsid w:val="009E0AE4"/>
    <w:rsid w:val="009E17E4"/>
    <w:rsid w:val="009E3FEA"/>
    <w:rsid w:val="009E6133"/>
    <w:rsid w:val="009E7D08"/>
    <w:rsid w:val="009E7E41"/>
    <w:rsid w:val="009F04FD"/>
    <w:rsid w:val="009F4650"/>
    <w:rsid w:val="009F4AC8"/>
    <w:rsid w:val="009F4E97"/>
    <w:rsid w:val="009F5828"/>
    <w:rsid w:val="00A01AC9"/>
    <w:rsid w:val="00A0203D"/>
    <w:rsid w:val="00A0502A"/>
    <w:rsid w:val="00A0505E"/>
    <w:rsid w:val="00A05463"/>
    <w:rsid w:val="00A061D7"/>
    <w:rsid w:val="00A06F72"/>
    <w:rsid w:val="00A103A2"/>
    <w:rsid w:val="00A11F7C"/>
    <w:rsid w:val="00A1255E"/>
    <w:rsid w:val="00A12B32"/>
    <w:rsid w:val="00A12C96"/>
    <w:rsid w:val="00A13EA0"/>
    <w:rsid w:val="00A149A1"/>
    <w:rsid w:val="00A155E3"/>
    <w:rsid w:val="00A157FB"/>
    <w:rsid w:val="00A17320"/>
    <w:rsid w:val="00A17E8F"/>
    <w:rsid w:val="00A21CEB"/>
    <w:rsid w:val="00A2307E"/>
    <w:rsid w:val="00A23164"/>
    <w:rsid w:val="00A25242"/>
    <w:rsid w:val="00A25F3D"/>
    <w:rsid w:val="00A275A7"/>
    <w:rsid w:val="00A27CB6"/>
    <w:rsid w:val="00A27CC1"/>
    <w:rsid w:val="00A309BC"/>
    <w:rsid w:val="00A30AE0"/>
    <w:rsid w:val="00A313A3"/>
    <w:rsid w:val="00A3553E"/>
    <w:rsid w:val="00A362B7"/>
    <w:rsid w:val="00A37BC0"/>
    <w:rsid w:val="00A40BC4"/>
    <w:rsid w:val="00A41657"/>
    <w:rsid w:val="00A416C6"/>
    <w:rsid w:val="00A4295D"/>
    <w:rsid w:val="00A43292"/>
    <w:rsid w:val="00A43F8E"/>
    <w:rsid w:val="00A50A53"/>
    <w:rsid w:val="00A514A5"/>
    <w:rsid w:val="00A52DC4"/>
    <w:rsid w:val="00A57792"/>
    <w:rsid w:val="00A602E7"/>
    <w:rsid w:val="00A60664"/>
    <w:rsid w:val="00A60FF0"/>
    <w:rsid w:val="00A6155C"/>
    <w:rsid w:val="00A616BC"/>
    <w:rsid w:val="00A63341"/>
    <w:rsid w:val="00A6480B"/>
    <w:rsid w:val="00A657E2"/>
    <w:rsid w:val="00A67EAD"/>
    <w:rsid w:val="00A70A32"/>
    <w:rsid w:val="00A74A65"/>
    <w:rsid w:val="00A75787"/>
    <w:rsid w:val="00A75F3F"/>
    <w:rsid w:val="00A82A8F"/>
    <w:rsid w:val="00A82BA0"/>
    <w:rsid w:val="00A83169"/>
    <w:rsid w:val="00A909C8"/>
    <w:rsid w:val="00A91C7D"/>
    <w:rsid w:val="00A9222C"/>
    <w:rsid w:val="00A928F4"/>
    <w:rsid w:val="00A97259"/>
    <w:rsid w:val="00AA330B"/>
    <w:rsid w:val="00AA4199"/>
    <w:rsid w:val="00AA61B4"/>
    <w:rsid w:val="00AB1ED3"/>
    <w:rsid w:val="00AB3077"/>
    <w:rsid w:val="00AB398B"/>
    <w:rsid w:val="00AB4DA3"/>
    <w:rsid w:val="00AB50C8"/>
    <w:rsid w:val="00AB7F2E"/>
    <w:rsid w:val="00AC04F0"/>
    <w:rsid w:val="00AC50D6"/>
    <w:rsid w:val="00AC50DF"/>
    <w:rsid w:val="00AC758F"/>
    <w:rsid w:val="00AC7FBF"/>
    <w:rsid w:val="00AD2A67"/>
    <w:rsid w:val="00AD39F7"/>
    <w:rsid w:val="00AD4268"/>
    <w:rsid w:val="00AD4D8C"/>
    <w:rsid w:val="00AD5717"/>
    <w:rsid w:val="00AE22F4"/>
    <w:rsid w:val="00AE3019"/>
    <w:rsid w:val="00AE332A"/>
    <w:rsid w:val="00AE3F21"/>
    <w:rsid w:val="00AE4C01"/>
    <w:rsid w:val="00AE4D48"/>
    <w:rsid w:val="00AE518E"/>
    <w:rsid w:val="00AE6F57"/>
    <w:rsid w:val="00AF0147"/>
    <w:rsid w:val="00AF0593"/>
    <w:rsid w:val="00AF0741"/>
    <w:rsid w:val="00AF0933"/>
    <w:rsid w:val="00AF1DC6"/>
    <w:rsid w:val="00AF1EF0"/>
    <w:rsid w:val="00AF3312"/>
    <w:rsid w:val="00AF559C"/>
    <w:rsid w:val="00B012FB"/>
    <w:rsid w:val="00B01A18"/>
    <w:rsid w:val="00B05DA5"/>
    <w:rsid w:val="00B06144"/>
    <w:rsid w:val="00B0664A"/>
    <w:rsid w:val="00B11C97"/>
    <w:rsid w:val="00B1355B"/>
    <w:rsid w:val="00B14A5D"/>
    <w:rsid w:val="00B1503F"/>
    <w:rsid w:val="00B150DF"/>
    <w:rsid w:val="00B15FC0"/>
    <w:rsid w:val="00B24879"/>
    <w:rsid w:val="00B274AA"/>
    <w:rsid w:val="00B278D0"/>
    <w:rsid w:val="00B27E74"/>
    <w:rsid w:val="00B30512"/>
    <w:rsid w:val="00B3104E"/>
    <w:rsid w:val="00B335FE"/>
    <w:rsid w:val="00B33BE9"/>
    <w:rsid w:val="00B3450C"/>
    <w:rsid w:val="00B360EA"/>
    <w:rsid w:val="00B41677"/>
    <w:rsid w:val="00B429F6"/>
    <w:rsid w:val="00B5026F"/>
    <w:rsid w:val="00B51A31"/>
    <w:rsid w:val="00B5220B"/>
    <w:rsid w:val="00B52AA7"/>
    <w:rsid w:val="00B53503"/>
    <w:rsid w:val="00B54BFA"/>
    <w:rsid w:val="00B55864"/>
    <w:rsid w:val="00B5609A"/>
    <w:rsid w:val="00B63059"/>
    <w:rsid w:val="00B64A6A"/>
    <w:rsid w:val="00B64DE5"/>
    <w:rsid w:val="00B64F5B"/>
    <w:rsid w:val="00B65E81"/>
    <w:rsid w:val="00B66506"/>
    <w:rsid w:val="00B66A61"/>
    <w:rsid w:val="00B703BC"/>
    <w:rsid w:val="00B70D0A"/>
    <w:rsid w:val="00B739CA"/>
    <w:rsid w:val="00B81489"/>
    <w:rsid w:val="00B8157C"/>
    <w:rsid w:val="00B81810"/>
    <w:rsid w:val="00B82159"/>
    <w:rsid w:val="00B8222C"/>
    <w:rsid w:val="00B82F62"/>
    <w:rsid w:val="00B84D64"/>
    <w:rsid w:val="00B84F69"/>
    <w:rsid w:val="00B86285"/>
    <w:rsid w:val="00B87FF0"/>
    <w:rsid w:val="00B9070F"/>
    <w:rsid w:val="00B908C2"/>
    <w:rsid w:val="00B91E13"/>
    <w:rsid w:val="00B91E4F"/>
    <w:rsid w:val="00B932B8"/>
    <w:rsid w:val="00B9684C"/>
    <w:rsid w:val="00B97F13"/>
    <w:rsid w:val="00BA1E4E"/>
    <w:rsid w:val="00BA3892"/>
    <w:rsid w:val="00BA47BB"/>
    <w:rsid w:val="00BA4D1A"/>
    <w:rsid w:val="00BA7ADB"/>
    <w:rsid w:val="00BB0359"/>
    <w:rsid w:val="00BB1ADC"/>
    <w:rsid w:val="00BB36EF"/>
    <w:rsid w:val="00BB45A8"/>
    <w:rsid w:val="00BB662B"/>
    <w:rsid w:val="00BB78A6"/>
    <w:rsid w:val="00BC0C8F"/>
    <w:rsid w:val="00BC1F30"/>
    <w:rsid w:val="00BC380E"/>
    <w:rsid w:val="00BC6AAF"/>
    <w:rsid w:val="00BC70B2"/>
    <w:rsid w:val="00BD2578"/>
    <w:rsid w:val="00BD45C1"/>
    <w:rsid w:val="00BD5ADC"/>
    <w:rsid w:val="00BD680E"/>
    <w:rsid w:val="00BD754E"/>
    <w:rsid w:val="00BD7597"/>
    <w:rsid w:val="00BE1603"/>
    <w:rsid w:val="00BE1C44"/>
    <w:rsid w:val="00BE1C80"/>
    <w:rsid w:val="00BE2DE6"/>
    <w:rsid w:val="00BE482D"/>
    <w:rsid w:val="00BE7360"/>
    <w:rsid w:val="00BE7A8F"/>
    <w:rsid w:val="00BF3B86"/>
    <w:rsid w:val="00BF4B17"/>
    <w:rsid w:val="00BF54C4"/>
    <w:rsid w:val="00BF74A5"/>
    <w:rsid w:val="00BF7BBB"/>
    <w:rsid w:val="00C01F12"/>
    <w:rsid w:val="00C0341F"/>
    <w:rsid w:val="00C07FB3"/>
    <w:rsid w:val="00C11D5B"/>
    <w:rsid w:val="00C122D0"/>
    <w:rsid w:val="00C12549"/>
    <w:rsid w:val="00C1330F"/>
    <w:rsid w:val="00C13A14"/>
    <w:rsid w:val="00C1563B"/>
    <w:rsid w:val="00C201C2"/>
    <w:rsid w:val="00C204F8"/>
    <w:rsid w:val="00C219D7"/>
    <w:rsid w:val="00C22648"/>
    <w:rsid w:val="00C23AFB"/>
    <w:rsid w:val="00C2733A"/>
    <w:rsid w:val="00C27AB3"/>
    <w:rsid w:val="00C31F68"/>
    <w:rsid w:val="00C33B3D"/>
    <w:rsid w:val="00C34630"/>
    <w:rsid w:val="00C34A83"/>
    <w:rsid w:val="00C3799D"/>
    <w:rsid w:val="00C470AC"/>
    <w:rsid w:val="00C4730D"/>
    <w:rsid w:val="00C54053"/>
    <w:rsid w:val="00C54270"/>
    <w:rsid w:val="00C54B27"/>
    <w:rsid w:val="00C55EDC"/>
    <w:rsid w:val="00C60ACB"/>
    <w:rsid w:val="00C60CE5"/>
    <w:rsid w:val="00C61ACD"/>
    <w:rsid w:val="00C61C80"/>
    <w:rsid w:val="00C62458"/>
    <w:rsid w:val="00C632A9"/>
    <w:rsid w:val="00C63845"/>
    <w:rsid w:val="00C649CF"/>
    <w:rsid w:val="00C6641D"/>
    <w:rsid w:val="00C66EB5"/>
    <w:rsid w:val="00C71D59"/>
    <w:rsid w:val="00C7554B"/>
    <w:rsid w:val="00C76071"/>
    <w:rsid w:val="00C77325"/>
    <w:rsid w:val="00C775D8"/>
    <w:rsid w:val="00C777CA"/>
    <w:rsid w:val="00C77AA6"/>
    <w:rsid w:val="00C83B8C"/>
    <w:rsid w:val="00C90B59"/>
    <w:rsid w:val="00C9128D"/>
    <w:rsid w:val="00C9147F"/>
    <w:rsid w:val="00C91771"/>
    <w:rsid w:val="00C92BB7"/>
    <w:rsid w:val="00C9368F"/>
    <w:rsid w:val="00C93967"/>
    <w:rsid w:val="00C95055"/>
    <w:rsid w:val="00C95FAF"/>
    <w:rsid w:val="00CA0874"/>
    <w:rsid w:val="00CA1871"/>
    <w:rsid w:val="00CA192B"/>
    <w:rsid w:val="00CA3A2B"/>
    <w:rsid w:val="00CA6273"/>
    <w:rsid w:val="00CA62B6"/>
    <w:rsid w:val="00CB0609"/>
    <w:rsid w:val="00CB0680"/>
    <w:rsid w:val="00CB0DF0"/>
    <w:rsid w:val="00CB30E5"/>
    <w:rsid w:val="00CC0489"/>
    <w:rsid w:val="00CC1F1E"/>
    <w:rsid w:val="00CC61A3"/>
    <w:rsid w:val="00CD0FEF"/>
    <w:rsid w:val="00CD19F8"/>
    <w:rsid w:val="00CD1E1E"/>
    <w:rsid w:val="00CD1E2C"/>
    <w:rsid w:val="00CD6550"/>
    <w:rsid w:val="00CE02AB"/>
    <w:rsid w:val="00CE0B79"/>
    <w:rsid w:val="00CE163E"/>
    <w:rsid w:val="00CE34E2"/>
    <w:rsid w:val="00CE5E05"/>
    <w:rsid w:val="00CE6A37"/>
    <w:rsid w:val="00CE7C8F"/>
    <w:rsid w:val="00CF4EAD"/>
    <w:rsid w:val="00CF5494"/>
    <w:rsid w:val="00CF5C0B"/>
    <w:rsid w:val="00CF6DA5"/>
    <w:rsid w:val="00D015E7"/>
    <w:rsid w:val="00D05479"/>
    <w:rsid w:val="00D07623"/>
    <w:rsid w:val="00D14ED3"/>
    <w:rsid w:val="00D16E06"/>
    <w:rsid w:val="00D20D90"/>
    <w:rsid w:val="00D239CD"/>
    <w:rsid w:val="00D311D8"/>
    <w:rsid w:val="00D33DB7"/>
    <w:rsid w:val="00D34B30"/>
    <w:rsid w:val="00D370FB"/>
    <w:rsid w:val="00D4020A"/>
    <w:rsid w:val="00D41404"/>
    <w:rsid w:val="00D416DE"/>
    <w:rsid w:val="00D42E46"/>
    <w:rsid w:val="00D440D6"/>
    <w:rsid w:val="00D44B97"/>
    <w:rsid w:val="00D45DC1"/>
    <w:rsid w:val="00D46412"/>
    <w:rsid w:val="00D476FD"/>
    <w:rsid w:val="00D5015F"/>
    <w:rsid w:val="00D51FFD"/>
    <w:rsid w:val="00D5649D"/>
    <w:rsid w:val="00D56521"/>
    <w:rsid w:val="00D60810"/>
    <w:rsid w:val="00D61BF9"/>
    <w:rsid w:val="00D632AB"/>
    <w:rsid w:val="00D63869"/>
    <w:rsid w:val="00D73588"/>
    <w:rsid w:val="00D76DB1"/>
    <w:rsid w:val="00D77C3B"/>
    <w:rsid w:val="00D81211"/>
    <w:rsid w:val="00D81BD6"/>
    <w:rsid w:val="00D85CAD"/>
    <w:rsid w:val="00D8733D"/>
    <w:rsid w:val="00D91778"/>
    <w:rsid w:val="00D91DB2"/>
    <w:rsid w:val="00D91EBF"/>
    <w:rsid w:val="00D924DC"/>
    <w:rsid w:val="00D9273C"/>
    <w:rsid w:val="00D929DF"/>
    <w:rsid w:val="00DA01EF"/>
    <w:rsid w:val="00DA0BF5"/>
    <w:rsid w:val="00DA1D5F"/>
    <w:rsid w:val="00DA2FDE"/>
    <w:rsid w:val="00DA320A"/>
    <w:rsid w:val="00DA3D0D"/>
    <w:rsid w:val="00DA7D8B"/>
    <w:rsid w:val="00DB009E"/>
    <w:rsid w:val="00DB12E9"/>
    <w:rsid w:val="00DB576F"/>
    <w:rsid w:val="00DB6FEF"/>
    <w:rsid w:val="00DB704C"/>
    <w:rsid w:val="00DC2882"/>
    <w:rsid w:val="00DC2AE1"/>
    <w:rsid w:val="00DC7E68"/>
    <w:rsid w:val="00DD0271"/>
    <w:rsid w:val="00DD03FD"/>
    <w:rsid w:val="00DD0D70"/>
    <w:rsid w:val="00DD2E30"/>
    <w:rsid w:val="00DD3392"/>
    <w:rsid w:val="00DD43B6"/>
    <w:rsid w:val="00DD4712"/>
    <w:rsid w:val="00DD4962"/>
    <w:rsid w:val="00DD605D"/>
    <w:rsid w:val="00DD7944"/>
    <w:rsid w:val="00DE0D59"/>
    <w:rsid w:val="00DE3DD8"/>
    <w:rsid w:val="00DE3F85"/>
    <w:rsid w:val="00DE549E"/>
    <w:rsid w:val="00DE5E08"/>
    <w:rsid w:val="00DE6C97"/>
    <w:rsid w:val="00DF25AF"/>
    <w:rsid w:val="00E02AB6"/>
    <w:rsid w:val="00E02F6C"/>
    <w:rsid w:val="00E045E8"/>
    <w:rsid w:val="00E04653"/>
    <w:rsid w:val="00E057B3"/>
    <w:rsid w:val="00E0669E"/>
    <w:rsid w:val="00E067DD"/>
    <w:rsid w:val="00E074E6"/>
    <w:rsid w:val="00E111CF"/>
    <w:rsid w:val="00E150D5"/>
    <w:rsid w:val="00E156E2"/>
    <w:rsid w:val="00E204CB"/>
    <w:rsid w:val="00E2069F"/>
    <w:rsid w:val="00E22BE7"/>
    <w:rsid w:val="00E2664A"/>
    <w:rsid w:val="00E27C92"/>
    <w:rsid w:val="00E30287"/>
    <w:rsid w:val="00E3029F"/>
    <w:rsid w:val="00E3146B"/>
    <w:rsid w:val="00E3217B"/>
    <w:rsid w:val="00E323DB"/>
    <w:rsid w:val="00E347A3"/>
    <w:rsid w:val="00E371C2"/>
    <w:rsid w:val="00E40F9D"/>
    <w:rsid w:val="00E427DF"/>
    <w:rsid w:val="00E42E82"/>
    <w:rsid w:val="00E4441B"/>
    <w:rsid w:val="00E505CC"/>
    <w:rsid w:val="00E53C61"/>
    <w:rsid w:val="00E53F44"/>
    <w:rsid w:val="00E5586A"/>
    <w:rsid w:val="00E5630D"/>
    <w:rsid w:val="00E61ACD"/>
    <w:rsid w:val="00E64918"/>
    <w:rsid w:val="00E66053"/>
    <w:rsid w:val="00E70797"/>
    <w:rsid w:val="00E70D5C"/>
    <w:rsid w:val="00E71490"/>
    <w:rsid w:val="00E71E9A"/>
    <w:rsid w:val="00E7383D"/>
    <w:rsid w:val="00E75E4A"/>
    <w:rsid w:val="00E76C2C"/>
    <w:rsid w:val="00E81382"/>
    <w:rsid w:val="00E81811"/>
    <w:rsid w:val="00E82AFB"/>
    <w:rsid w:val="00E82F84"/>
    <w:rsid w:val="00E83067"/>
    <w:rsid w:val="00E83346"/>
    <w:rsid w:val="00E8443C"/>
    <w:rsid w:val="00E85083"/>
    <w:rsid w:val="00E85472"/>
    <w:rsid w:val="00E86C01"/>
    <w:rsid w:val="00E90619"/>
    <w:rsid w:val="00E90ADA"/>
    <w:rsid w:val="00E91594"/>
    <w:rsid w:val="00E928FA"/>
    <w:rsid w:val="00E93038"/>
    <w:rsid w:val="00E95C75"/>
    <w:rsid w:val="00E96870"/>
    <w:rsid w:val="00E97C4F"/>
    <w:rsid w:val="00EA02D1"/>
    <w:rsid w:val="00EA1D12"/>
    <w:rsid w:val="00EA46E6"/>
    <w:rsid w:val="00EB0DB5"/>
    <w:rsid w:val="00EB1BA3"/>
    <w:rsid w:val="00EB1D6D"/>
    <w:rsid w:val="00EB2B58"/>
    <w:rsid w:val="00EB3082"/>
    <w:rsid w:val="00EB4221"/>
    <w:rsid w:val="00EB4B1A"/>
    <w:rsid w:val="00EB6C4D"/>
    <w:rsid w:val="00EC03B2"/>
    <w:rsid w:val="00EC32FB"/>
    <w:rsid w:val="00EC3BAC"/>
    <w:rsid w:val="00EC5EF2"/>
    <w:rsid w:val="00EC6A1E"/>
    <w:rsid w:val="00ED0974"/>
    <w:rsid w:val="00ED2315"/>
    <w:rsid w:val="00ED322F"/>
    <w:rsid w:val="00ED46B6"/>
    <w:rsid w:val="00ED661F"/>
    <w:rsid w:val="00EE081A"/>
    <w:rsid w:val="00EE1E57"/>
    <w:rsid w:val="00EE298D"/>
    <w:rsid w:val="00EE4A2B"/>
    <w:rsid w:val="00EE50A4"/>
    <w:rsid w:val="00EE569C"/>
    <w:rsid w:val="00EE6080"/>
    <w:rsid w:val="00EF004F"/>
    <w:rsid w:val="00EF1399"/>
    <w:rsid w:val="00EF327E"/>
    <w:rsid w:val="00EF3CF1"/>
    <w:rsid w:val="00EF7121"/>
    <w:rsid w:val="00EF79C2"/>
    <w:rsid w:val="00EF7D5C"/>
    <w:rsid w:val="00F008B2"/>
    <w:rsid w:val="00F04550"/>
    <w:rsid w:val="00F0607F"/>
    <w:rsid w:val="00F10BDB"/>
    <w:rsid w:val="00F133AD"/>
    <w:rsid w:val="00F13765"/>
    <w:rsid w:val="00F15576"/>
    <w:rsid w:val="00F16F89"/>
    <w:rsid w:val="00F17EA4"/>
    <w:rsid w:val="00F17FAE"/>
    <w:rsid w:val="00F20A7B"/>
    <w:rsid w:val="00F229EC"/>
    <w:rsid w:val="00F2325D"/>
    <w:rsid w:val="00F24309"/>
    <w:rsid w:val="00F27515"/>
    <w:rsid w:val="00F277A2"/>
    <w:rsid w:val="00F3119F"/>
    <w:rsid w:val="00F32744"/>
    <w:rsid w:val="00F41472"/>
    <w:rsid w:val="00F43CC3"/>
    <w:rsid w:val="00F4434F"/>
    <w:rsid w:val="00F448E3"/>
    <w:rsid w:val="00F45CA9"/>
    <w:rsid w:val="00F460AC"/>
    <w:rsid w:val="00F4650B"/>
    <w:rsid w:val="00F46B16"/>
    <w:rsid w:val="00F52AA2"/>
    <w:rsid w:val="00F55D48"/>
    <w:rsid w:val="00F6088A"/>
    <w:rsid w:val="00F7061C"/>
    <w:rsid w:val="00F7263E"/>
    <w:rsid w:val="00F738AE"/>
    <w:rsid w:val="00F7489E"/>
    <w:rsid w:val="00F752AF"/>
    <w:rsid w:val="00F7690A"/>
    <w:rsid w:val="00F77BAE"/>
    <w:rsid w:val="00F77CE2"/>
    <w:rsid w:val="00F8370B"/>
    <w:rsid w:val="00F84A6D"/>
    <w:rsid w:val="00F84DD7"/>
    <w:rsid w:val="00F85D15"/>
    <w:rsid w:val="00F860E4"/>
    <w:rsid w:val="00F903B2"/>
    <w:rsid w:val="00F9211D"/>
    <w:rsid w:val="00F93236"/>
    <w:rsid w:val="00F94116"/>
    <w:rsid w:val="00F945E9"/>
    <w:rsid w:val="00F9655D"/>
    <w:rsid w:val="00F976CB"/>
    <w:rsid w:val="00F977A9"/>
    <w:rsid w:val="00FA3778"/>
    <w:rsid w:val="00FA4B19"/>
    <w:rsid w:val="00FA66EF"/>
    <w:rsid w:val="00FA7940"/>
    <w:rsid w:val="00FB20A0"/>
    <w:rsid w:val="00FB4C23"/>
    <w:rsid w:val="00FB516A"/>
    <w:rsid w:val="00FB6CC4"/>
    <w:rsid w:val="00FB7324"/>
    <w:rsid w:val="00FC0059"/>
    <w:rsid w:val="00FC04A9"/>
    <w:rsid w:val="00FC113E"/>
    <w:rsid w:val="00FC159F"/>
    <w:rsid w:val="00FC2026"/>
    <w:rsid w:val="00FC5ADD"/>
    <w:rsid w:val="00FC6168"/>
    <w:rsid w:val="00FC6488"/>
    <w:rsid w:val="00FC6984"/>
    <w:rsid w:val="00FC6D96"/>
    <w:rsid w:val="00FC6DFF"/>
    <w:rsid w:val="00FD0B17"/>
    <w:rsid w:val="00FD0DBA"/>
    <w:rsid w:val="00FD3109"/>
    <w:rsid w:val="00FD35BC"/>
    <w:rsid w:val="00FD36C4"/>
    <w:rsid w:val="00FD3B5F"/>
    <w:rsid w:val="00FD3C43"/>
    <w:rsid w:val="00FD73EB"/>
    <w:rsid w:val="00FE1880"/>
    <w:rsid w:val="00FE59FD"/>
    <w:rsid w:val="00FF0EF2"/>
    <w:rsid w:val="00FF2590"/>
    <w:rsid w:val="00FF339F"/>
    <w:rsid w:val="00FF4A4E"/>
    <w:rsid w:val="00FF4BE9"/>
    <w:rsid w:val="00FF50C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2D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0D44A6"/>
    <w:pPr>
      <w:spacing w:before="100" w:beforeAutospacing="1" w:after="100" w:afterAutospacing="1"/>
      <w:outlineLvl w:val="0"/>
    </w:pPr>
    <w:rPr>
      <w:rFonts w:eastAsia="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3F11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933F63"/>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5630D"/>
    <w:rPr>
      <w:rFonts w:ascii="Tahoma" w:hAnsi="Tahoma" w:cs="Tahoma"/>
      <w:sz w:val="16"/>
      <w:szCs w:val="16"/>
    </w:rPr>
  </w:style>
  <w:style w:type="character" w:customStyle="1" w:styleId="TextodebaloChar">
    <w:name w:val="Texto de balão Char"/>
    <w:basedOn w:val="Fontepargpadro"/>
    <w:link w:val="Textodebalo"/>
    <w:uiPriority w:val="99"/>
    <w:semiHidden/>
    <w:rsid w:val="00E5630D"/>
    <w:rPr>
      <w:rFonts w:ascii="Tahoma" w:hAnsi="Tahoma" w:cs="Tahoma"/>
      <w:sz w:val="16"/>
      <w:szCs w:val="16"/>
    </w:rPr>
  </w:style>
  <w:style w:type="paragraph" w:customStyle="1" w:styleId="Default">
    <w:name w:val="Default"/>
    <w:rsid w:val="00C92BB7"/>
    <w:pPr>
      <w:autoSpaceDE w:val="0"/>
      <w:autoSpaceDN w:val="0"/>
      <w:adjustRightInd w:val="0"/>
    </w:pPr>
    <w:rPr>
      <w:rFonts w:cs="Times New Roman"/>
      <w:color w:val="000000"/>
      <w:szCs w:val="24"/>
    </w:rPr>
  </w:style>
  <w:style w:type="character" w:styleId="Hyperlink">
    <w:name w:val="Hyperlink"/>
    <w:basedOn w:val="Fontepargpadro"/>
    <w:uiPriority w:val="99"/>
    <w:unhideWhenUsed/>
    <w:rsid w:val="00615E99"/>
    <w:rPr>
      <w:color w:val="0000FF" w:themeColor="hyperlink"/>
      <w:u w:val="single"/>
    </w:rPr>
  </w:style>
  <w:style w:type="paragraph" w:styleId="Cabealho">
    <w:name w:val="header"/>
    <w:basedOn w:val="Normal"/>
    <w:link w:val="CabealhoChar"/>
    <w:uiPriority w:val="99"/>
    <w:unhideWhenUsed/>
    <w:rsid w:val="00E85472"/>
    <w:pPr>
      <w:tabs>
        <w:tab w:val="center" w:pos="4252"/>
        <w:tab w:val="right" w:pos="8504"/>
      </w:tabs>
    </w:pPr>
  </w:style>
  <w:style w:type="character" w:customStyle="1" w:styleId="CabealhoChar">
    <w:name w:val="Cabeçalho Char"/>
    <w:basedOn w:val="Fontepargpadro"/>
    <w:link w:val="Cabealho"/>
    <w:uiPriority w:val="99"/>
    <w:rsid w:val="00E85472"/>
  </w:style>
  <w:style w:type="paragraph" w:styleId="Rodap">
    <w:name w:val="footer"/>
    <w:basedOn w:val="Normal"/>
    <w:link w:val="RodapChar"/>
    <w:uiPriority w:val="99"/>
    <w:unhideWhenUsed/>
    <w:rsid w:val="00E85472"/>
    <w:pPr>
      <w:tabs>
        <w:tab w:val="center" w:pos="4252"/>
        <w:tab w:val="right" w:pos="8504"/>
      </w:tabs>
    </w:pPr>
  </w:style>
  <w:style w:type="character" w:customStyle="1" w:styleId="RodapChar">
    <w:name w:val="Rodapé Char"/>
    <w:basedOn w:val="Fontepargpadro"/>
    <w:link w:val="Rodap"/>
    <w:uiPriority w:val="99"/>
    <w:rsid w:val="00E85472"/>
  </w:style>
  <w:style w:type="paragraph" w:styleId="Textodenotadefim">
    <w:name w:val="endnote text"/>
    <w:basedOn w:val="Normal"/>
    <w:link w:val="TextodenotadefimChar"/>
    <w:uiPriority w:val="99"/>
    <w:semiHidden/>
    <w:unhideWhenUsed/>
    <w:rsid w:val="002545A5"/>
    <w:rPr>
      <w:sz w:val="20"/>
      <w:szCs w:val="20"/>
    </w:rPr>
  </w:style>
  <w:style w:type="character" w:customStyle="1" w:styleId="TextodenotadefimChar">
    <w:name w:val="Texto de nota de fim Char"/>
    <w:basedOn w:val="Fontepargpadro"/>
    <w:link w:val="Textodenotadefim"/>
    <w:uiPriority w:val="99"/>
    <w:semiHidden/>
    <w:rsid w:val="002545A5"/>
    <w:rPr>
      <w:sz w:val="20"/>
      <w:szCs w:val="20"/>
    </w:rPr>
  </w:style>
  <w:style w:type="character" w:styleId="Refdenotadefim">
    <w:name w:val="endnote reference"/>
    <w:basedOn w:val="Fontepargpadro"/>
    <w:uiPriority w:val="99"/>
    <w:semiHidden/>
    <w:unhideWhenUsed/>
    <w:rsid w:val="002545A5"/>
    <w:rPr>
      <w:vertAlign w:val="superscript"/>
    </w:rPr>
  </w:style>
  <w:style w:type="paragraph" w:styleId="Textodenotaderodap">
    <w:name w:val="footnote text"/>
    <w:basedOn w:val="Normal"/>
    <w:link w:val="TextodenotaderodapChar"/>
    <w:uiPriority w:val="99"/>
    <w:semiHidden/>
    <w:unhideWhenUsed/>
    <w:rsid w:val="002545A5"/>
    <w:rPr>
      <w:sz w:val="20"/>
      <w:szCs w:val="20"/>
    </w:rPr>
  </w:style>
  <w:style w:type="character" w:customStyle="1" w:styleId="TextodenotaderodapChar">
    <w:name w:val="Texto de nota de rodapé Char"/>
    <w:basedOn w:val="Fontepargpadro"/>
    <w:link w:val="Textodenotaderodap"/>
    <w:uiPriority w:val="99"/>
    <w:semiHidden/>
    <w:rsid w:val="002545A5"/>
    <w:rPr>
      <w:sz w:val="20"/>
      <w:szCs w:val="20"/>
    </w:rPr>
  </w:style>
  <w:style w:type="character" w:styleId="Refdenotaderodap">
    <w:name w:val="footnote reference"/>
    <w:basedOn w:val="Fontepargpadro"/>
    <w:uiPriority w:val="99"/>
    <w:semiHidden/>
    <w:unhideWhenUsed/>
    <w:rsid w:val="002545A5"/>
    <w:rPr>
      <w:vertAlign w:val="superscript"/>
    </w:rPr>
  </w:style>
  <w:style w:type="paragraph" w:styleId="Pr-formataoHTML">
    <w:name w:val="HTML Preformatted"/>
    <w:basedOn w:val="Normal"/>
    <w:link w:val="Pr-formataoHTMLChar"/>
    <w:uiPriority w:val="99"/>
    <w:unhideWhenUsed/>
    <w:rsid w:val="00814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814349"/>
    <w:rPr>
      <w:rFonts w:ascii="Courier New" w:eastAsia="Times New Roman" w:hAnsi="Courier New" w:cs="Courier New"/>
      <w:sz w:val="20"/>
      <w:szCs w:val="20"/>
      <w:lang w:eastAsia="pt-BR"/>
    </w:rPr>
  </w:style>
  <w:style w:type="character" w:styleId="TextodoEspaoReservado">
    <w:name w:val="Placeholder Text"/>
    <w:basedOn w:val="Fontepargpadro"/>
    <w:uiPriority w:val="99"/>
    <w:semiHidden/>
    <w:rsid w:val="0000415C"/>
    <w:rPr>
      <w:color w:val="808080"/>
    </w:rPr>
  </w:style>
  <w:style w:type="character" w:styleId="Refdecomentrio">
    <w:name w:val="annotation reference"/>
    <w:basedOn w:val="Fontepargpadro"/>
    <w:uiPriority w:val="99"/>
    <w:semiHidden/>
    <w:unhideWhenUsed/>
    <w:rsid w:val="00812146"/>
    <w:rPr>
      <w:sz w:val="16"/>
      <w:szCs w:val="16"/>
    </w:rPr>
  </w:style>
  <w:style w:type="paragraph" w:styleId="Textodecomentrio">
    <w:name w:val="annotation text"/>
    <w:basedOn w:val="Normal"/>
    <w:link w:val="TextodecomentrioChar"/>
    <w:uiPriority w:val="99"/>
    <w:semiHidden/>
    <w:unhideWhenUsed/>
    <w:rsid w:val="00812146"/>
    <w:rPr>
      <w:sz w:val="20"/>
      <w:szCs w:val="20"/>
    </w:rPr>
  </w:style>
  <w:style w:type="character" w:customStyle="1" w:styleId="TextodecomentrioChar">
    <w:name w:val="Texto de comentário Char"/>
    <w:basedOn w:val="Fontepargpadro"/>
    <w:link w:val="Textodecomentrio"/>
    <w:uiPriority w:val="99"/>
    <w:semiHidden/>
    <w:rsid w:val="00812146"/>
    <w:rPr>
      <w:sz w:val="20"/>
      <w:szCs w:val="20"/>
    </w:rPr>
  </w:style>
  <w:style w:type="paragraph" w:styleId="Assuntodocomentrio">
    <w:name w:val="annotation subject"/>
    <w:basedOn w:val="Textodecomentrio"/>
    <w:next w:val="Textodecomentrio"/>
    <w:link w:val="AssuntodocomentrioChar"/>
    <w:uiPriority w:val="99"/>
    <w:semiHidden/>
    <w:unhideWhenUsed/>
    <w:rsid w:val="00812146"/>
    <w:rPr>
      <w:b/>
      <w:bCs/>
    </w:rPr>
  </w:style>
  <w:style w:type="character" w:customStyle="1" w:styleId="AssuntodocomentrioChar">
    <w:name w:val="Assunto do comentário Char"/>
    <w:basedOn w:val="TextodecomentrioChar"/>
    <w:link w:val="Assuntodocomentrio"/>
    <w:uiPriority w:val="99"/>
    <w:semiHidden/>
    <w:rsid w:val="00812146"/>
    <w:rPr>
      <w:b/>
      <w:bCs/>
      <w:sz w:val="20"/>
      <w:szCs w:val="20"/>
    </w:rPr>
  </w:style>
  <w:style w:type="character" w:styleId="HiperlinkVisitado">
    <w:name w:val="FollowedHyperlink"/>
    <w:basedOn w:val="Fontepargpadro"/>
    <w:uiPriority w:val="99"/>
    <w:semiHidden/>
    <w:unhideWhenUsed/>
    <w:rsid w:val="00E3029F"/>
    <w:rPr>
      <w:color w:val="800080" w:themeColor="followedHyperlink"/>
      <w:u w:val="single"/>
    </w:rPr>
  </w:style>
  <w:style w:type="paragraph" w:styleId="PargrafodaLista">
    <w:name w:val="List Paragraph"/>
    <w:basedOn w:val="Normal"/>
    <w:uiPriority w:val="34"/>
    <w:qFormat/>
    <w:rsid w:val="005B0ACB"/>
    <w:pPr>
      <w:ind w:left="720"/>
      <w:contextualSpacing/>
    </w:pPr>
  </w:style>
  <w:style w:type="paragraph" w:customStyle="1" w:styleId="LARESAuthors">
    <w:name w:val="LARES Authors"/>
    <w:next w:val="LARESAddresses"/>
    <w:rsid w:val="0034139D"/>
    <w:pPr>
      <w:spacing w:after="240"/>
      <w:jc w:val="center"/>
    </w:pPr>
    <w:rPr>
      <w:rFonts w:eastAsia="Times New Roman" w:cs="Times New Roman"/>
      <w:b/>
      <w:szCs w:val="20"/>
      <w:lang w:val="en-GB"/>
    </w:rPr>
  </w:style>
  <w:style w:type="paragraph" w:customStyle="1" w:styleId="LARESTitle">
    <w:name w:val="LARES Title"/>
    <w:next w:val="LARESAuthors"/>
    <w:autoRedefine/>
    <w:rsid w:val="0034139D"/>
    <w:pPr>
      <w:spacing w:after="240"/>
      <w:jc w:val="center"/>
    </w:pPr>
    <w:rPr>
      <w:rFonts w:ascii="Arial" w:eastAsia="Arial" w:hAnsi="Arial" w:cs="Times New Roman"/>
      <w:b/>
      <w:sz w:val="28"/>
      <w:szCs w:val="28"/>
      <w:lang w:val="en-GB"/>
    </w:rPr>
  </w:style>
  <w:style w:type="paragraph" w:customStyle="1" w:styleId="LARESAddresses">
    <w:name w:val="LARES Addresses"/>
    <w:rsid w:val="0034139D"/>
    <w:pPr>
      <w:spacing w:after="120"/>
      <w:jc w:val="center"/>
    </w:pPr>
    <w:rPr>
      <w:rFonts w:eastAsia="Times New Roman" w:cs="Times New Roman"/>
      <w:sz w:val="20"/>
      <w:szCs w:val="20"/>
      <w:lang w:val="en-GB"/>
    </w:rPr>
  </w:style>
  <w:style w:type="paragraph" w:customStyle="1" w:styleId="LARESKeywords">
    <w:name w:val="LARES Keywords"/>
    <w:rsid w:val="0034139D"/>
    <w:pPr>
      <w:spacing w:before="120" w:after="120"/>
    </w:pPr>
    <w:rPr>
      <w:rFonts w:eastAsia="Times New Roman" w:cs="Times New Roman"/>
      <w:sz w:val="22"/>
      <w:szCs w:val="20"/>
      <w:lang w:val="en-GB"/>
    </w:rPr>
  </w:style>
  <w:style w:type="paragraph" w:customStyle="1" w:styleId="LARESAbstractHeading">
    <w:name w:val="LARES Abstract Heading"/>
    <w:rsid w:val="0034139D"/>
    <w:pPr>
      <w:spacing w:before="360" w:after="240"/>
      <w:jc w:val="center"/>
    </w:pPr>
    <w:rPr>
      <w:rFonts w:eastAsia="Times New Roman" w:cs="Times New Roman"/>
      <w:b/>
      <w:caps/>
      <w:szCs w:val="20"/>
      <w:lang w:val="en-GB"/>
    </w:rPr>
  </w:style>
  <w:style w:type="paragraph" w:customStyle="1" w:styleId="LARESBodytext">
    <w:name w:val="LARES Body text"/>
    <w:rsid w:val="0034139D"/>
    <w:pPr>
      <w:jc w:val="both"/>
    </w:pPr>
    <w:rPr>
      <w:rFonts w:eastAsia="Times New Roman" w:cs="Times New Roman"/>
      <w:szCs w:val="20"/>
      <w:lang w:val="en-GB"/>
    </w:rPr>
  </w:style>
  <w:style w:type="paragraph" w:customStyle="1" w:styleId="LARESAbstracttext">
    <w:name w:val="LARES Abstract text"/>
    <w:basedOn w:val="LARESBodytext"/>
    <w:rsid w:val="0034139D"/>
    <w:rPr>
      <w:sz w:val="22"/>
      <w:lang w:val="pt-BR"/>
    </w:rPr>
  </w:style>
  <w:style w:type="paragraph" w:styleId="NormalWeb">
    <w:name w:val="Normal (Web)"/>
    <w:basedOn w:val="Normal"/>
    <w:uiPriority w:val="99"/>
    <w:semiHidden/>
    <w:unhideWhenUsed/>
    <w:rsid w:val="00E0669E"/>
    <w:pPr>
      <w:spacing w:before="100" w:beforeAutospacing="1" w:after="100" w:afterAutospacing="1"/>
    </w:pPr>
    <w:rPr>
      <w:rFonts w:eastAsia="Times New Roman" w:cs="Times New Roman"/>
      <w:szCs w:val="24"/>
      <w:lang w:eastAsia="pt-BR"/>
    </w:rPr>
  </w:style>
  <w:style w:type="character" w:customStyle="1" w:styleId="Ttulo1Char">
    <w:name w:val="Título 1 Char"/>
    <w:basedOn w:val="Fontepargpadro"/>
    <w:link w:val="Ttulo1"/>
    <w:uiPriority w:val="9"/>
    <w:rsid w:val="000D44A6"/>
    <w:rPr>
      <w:rFonts w:eastAsia="Times New Roman" w:cs="Times New Roman"/>
      <w:b/>
      <w:bCs/>
      <w:kern w:val="36"/>
      <w:sz w:val="48"/>
      <w:szCs w:val="48"/>
      <w:lang w:eastAsia="pt-BR"/>
    </w:rPr>
  </w:style>
  <w:style w:type="paragraph" w:styleId="CabealhodoSumrio">
    <w:name w:val="TOC Heading"/>
    <w:basedOn w:val="Ttulo1"/>
    <w:next w:val="Normal"/>
    <w:uiPriority w:val="39"/>
    <w:semiHidden/>
    <w:unhideWhenUsed/>
    <w:qFormat/>
    <w:rsid w:val="003F114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umrio1">
    <w:name w:val="toc 1"/>
    <w:basedOn w:val="Normal"/>
    <w:next w:val="Normal"/>
    <w:autoRedefine/>
    <w:uiPriority w:val="39"/>
    <w:unhideWhenUsed/>
    <w:rsid w:val="003F1145"/>
    <w:pPr>
      <w:spacing w:after="100"/>
    </w:pPr>
  </w:style>
  <w:style w:type="character" w:customStyle="1" w:styleId="Ttulo2Char">
    <w:name w:val="Título 2 Char"/>
    <w:basedOn w:val="Fontepargpadro"/>
    <w:link w:val="Ttulo2"/>
    <w:uiPriority w:val="9"/>
    <w:semiHidden/>
    <w:rsid w:val="003F1145"/>
    <w:rPr>
      <w:rFonts w:asciiTheme="majorHAnsi" w:eastAsiaTheme="majorEastAsia" w:hAnsiTheme="majorHAnsi" w:cstheme="majorBidi"/>
      <w:b/>
      <w:bCs/>
      <w:color w:val="4F81BD" w:themeColor="accent1"/>
      <w:sz w:val="26"/>
      <w:szCs w:val="26"/>
    </w:rPr>
  </w:style>
  <w:style w:type="paragraph" w:styleId="Sumrio2">
    <w:name w:val="toc 2"/>
    <w:basedOn w:val="Normal"/>
    <w:next w:val="Normal"/>
    <w:autoRedefine/>
    <w:uiPriority w:val="39"/>
    <w:unhideWhenUsed/>
    <w:rsid w:val="003F1145"/>
    <w:pPr>
      <w:spacing w:after="100"/>
      <w:ind w:left="240"/>
    </w:pPr>
  </w:style>
  <w:style w:type="character" w:customStyle="1" w:styleId="Ttulo3Char">
    <w:name w:val="Título 3 Char"/>
    <w:basedOn w:val="Fontepargpadro"/>
    <w:link w:val="Ttulo3"/>
    <w:uiPriority w:val="9"/>
    <w:semiHidden/>
    <w:rsid w:val="00933F63"/>
    <w:rPr>
      <w:rFonts w:asciiTheme="majorHAnsi" w:eastAsiaTheme="majorEastAsia" w:hAnsiTheme="majorHAnsi" w:cstheme="majorBidi"/>
      <w:b/>
      <w:bCs/>
      <w:color w:val="4F81BD" w:themeColor="accent1"/>
    </w:rPr>
  </w:style>
  <w:style w:type="paragraph" w:styleId="Sumrio3">
    <w:name w:val="toc 3"/>
    <w:basedOn w:val="Normal"/>
    <w:next w:val="Normal"/>
    <w:autoRedefine/>
    <w:uiPriority w:val="39"/>
    <w:unhideWhenUsed/>
    <w:rsid w:val="00933F63"/>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0D44A6"/>
    <w:pPr>
      <w:spacing w:before="100" w:beforeAutospacing="1" w:after="100" w:afterAutospacing="1"/>
      <w:outlineLvl w:val="0"/>
    </w:pPr>
    <w:rPr>
      <w:rFonts w:eastAsia="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3F11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933F63"/>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5630D"/>
    <w:rPr>
      <w:rFonts w:ascii="Tahoma" w:hAnsi="Tahoma" w:cs="Tahoma"/>
      <w:sz w:val="16"/>
      <w:szCs w:val="16"/>
    </w:rPr>
  </w:style>
  <w:style w:type="character" w:customStyle="1" w:styleId="TextodebaloChar">
    <w:name w:val="Texto de balão Char"/>
    <w:basedOn w:val="Fontepargpadro"/>
    <w:link w:val="Textodebalo"/>
    <w:uiPriority w:val="99"/>
    <w:semiHidden/>
    <w:rsid w:val="00E5630D"/>
    <w:rPr>
      <w:rFonts w:ascii="Tahoma" w:hAnsi="Tahoma" w:cs="Tahoma"/>
      <w:sz w:val="16"/>
      <w:szCs w:val="16"/>
    </w:rPr>
  </w:style>
  <w:style w:type="paragraph" w:customStyle="1" w:styleId="Default">
    <w:name w:val="Default"/>
    <w:rsid w:val="00C92BB7"/>
    <w:pPr>
      <w:autoSpaceDE w:val="0"/>
      <w:autoSpaceDN w:val="0"/>
      <w:adjustRightInd w:val="0"/>
    </w:pPr>
    <w:rPr>
      <w:rFonts w:cs="Times New Roman"/>
      <w:color w:val="000000"/>
      <w:szCs w:val="24"/>
    </w:rPr>
  </w:style>
  <w:style w:type="character" w:styleId="Hyperlink">
    <w:name w:val="Hyperlink"/>
    <w:basedOn w:val="Fontepargpadro"/>
    <w:uiPriority w:val="99"/>
    <w:unhideWhenUsed/>
    <w:rsid w:val="00615E99"/>
    <w:rPr>
      <w:color w:val="0000FF" w:themeColor="hyperlink"/>
      <w:u w:val="single"/>
    </w:rPr>
  </w:style>
  <w:style w:type="paragraph" w:styleId="Cabealho">
    <w:name w:val="header"/>
    <w:basedOn w:val="Normal"/>
    <w:link w:val="CabealhoChar"/>
    <w:uiPriority w:val="99"/>
    <w:unhideWhenUsed/>
    <w:rsid w:val="00E85472"/>
    <w:pPr>
      <w:tabs>
        <w:tab w:val="center" w:pos="4252"/>
        <w:tab w:val="right" w:pos="8504"/>
      </w:tabs>
    </w:pPr>
  </w:style>
  <w:style w:type="character" w:customStyle="1" w:styleId="CabealhoChar">
    <w:name w:val="Cabeçalho Char"/>
    <w:basedOn w:val="Fontepargpadro"/>
    <w:link w:val="Cabealho"/>
    <w:uiPriority w:val="99"/>
    <w:rsid w:val="00E85472"/>
  </w:style>
  <w:style w:type="paragraph" w:styleId="Rodap">
    <w:name w:val="footer"/>
    <w:basedOn w:val="Normal"/>
    <w:link w:val="RodapChar"/>
    <w:uiPriority w:val="99"/>
    <w:unhideWhenUsed/>
    <w:rsid w:val="00E85472"/>
    <w:pPr>
      <w:tabs>
        <w:tab w:val="center" w:pos="4252"/>
        <w:tab w:val="right" w:pos="8504"/>
      </w:tabs>
    </w:pPr>
  </w:style>
  <w:style w:type="character" w:customStyle="1" w:styleId="RodapChar">
    <w:name w:val="Rodapé Char"/>
    <w:basedOn w:val="Fontepargpadro"/>
    <w:link w:val="Rodap"/>
    <w:uiPriority w:val="99"/>
    <w:rsid w:val="00E85472"/>
  </w:style>
  <w:style w:type="paragraph" w:styleId="Textodenotadefim">
    <w:name w:val="endnote text"/>
    <w:basedOn w:val="Normal"/>
    <w:link w:val="TextodenotadefimChar"/>
    <w:uiPriority w:val="99"/>
    <w:semiHidden/>
    <w:unhideWhenUsed/>
    <w:rsid w:val="002545A5"/>
    <w:rPr>
      <w:sz w:val="20"/>
      <w:szCs w:val="20"/>
    </w:rPr>
  </w:style>
  <w:style w:type="character" w:customStyle="1" w:styleId="TextodenotadefimChar">
    <w:name w:val="Texto de nota de fim Char"/>
    <w:basedOn w:val="Fontepargpadro"/>
    <w:link w:val="Textodenotadefim"/>
    <w:uiPriority w:val="99"/>
    <w:semiHidden/>
    <w:rsid w:val="002545A5"/>
    <w:rPr>
      <w:sz w:val="20"/>
      <w:szCs w:val="20"/>
    </w:rPr>
  </w:style>
  <w:style w:type="character" w:styleId="Refdenotadefim">
    <w:name w:val="endnote reference"/>
    <w:basedOn w:val="Fontepargpadro"/>
    <w:uiPriority w:val="99"/>
    <w:semiHidden/>
    <w:unhideWhenUsed/>
    <w:rsid w:val="002545A5"/>
    <w:rPr>
      <w:vertAlign w:val="superscript"/>
    </w:rPr>
  </w:style>
  <w:style w:type="paragraph" w:styleId="Textodenotaderodap">
    <w:name w:val="footnote text"/>
    <w:basedOn w:val="Normal"/>
    <w:link w:val="TextodenotaderodapChar"/>
    <w:uiPriority w:val="99"/>
    <w:semiHidden/>
    <w:unhideWhenUsed/>
    <w:rsid w:val="002545A5"/>
    <w:rPr>
      <w:sz w:val="20"/>
      <w:szCs w:val="20"/>
    </w:rPr>
  </w:style>
  <w:style w:type="character" w:customStyle="1" w:styleId="TextodenotaderodapChar">
    <w:name w:val="Texto de nota de rodapé Char"/>
    <w:basedOn w:val="Fontepargpadro"/>
    <w:link w:val="Textodenotaderodap"/>
    <w:uiPriority w:val="99"/>
    <w:semiHidden/>
    <w:rsid w:val="002545A5"/>
    <w:rPr>
      <w:sz w:val="20"/>
      <w:szCs w:val="20"/>
    </w:rPr>
  </w:style>
  <w:style w:type="character" w:styleId="Refdenotaderodap">
    <w:name w:val="footnote reference"/>
    <w:basedOn w:val="Fontepargpadro"/>
    <w:uiPriority w:val="99"/>
    <w:semiHidden/>
    <w:unhideWhenUsed/>
    <w:rsid w:val="002545A5"/>
    <w:rPr>
      <w:vertAlign w:val="superscript"/>
    </w:rPr>
  </w:style>
  <w:style w:type="paragraph" w:styleId="Pr-formataoHTML">
    <w:name w:val="HTML Preformatted"/>
    <w:basedOn w:val="Normal"/>
    <w:link w:val="Pr-formataoHTMLChar"/>
    <w:uiPriority w:val="99"/>
    <w:unhideWhenUsed/>
    <w:rsid w:val="00814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814349"/>
    <w:rPr>
      <w:rFonts w:ascii="Courier New" w:eastAsia="Times New Roman" w:hAnsi="Courier New" w:cs="Courier New"/>
      <w:sz w:val="20"/>
      <w:szCs w:val="20"/>
      <w:lang w:eastAsia="pt-BR"/>
    </w:rPr>
  </w:style>
  <w:style w:type="character" w:styleId="TextodoEspaoReservado">
    <w:name w:val="Placeholder Text"/>
    <w:basedOn w:val="Fontepargpadro"/>
    <w:uiPriority w:val="99"/>
    <w:semiHidden/>
    <w:rsid w:val="0000415C"/>
    <w:rPr>
      <w:color w:val="808080"/>
    </w:rPr>
  </w:style>
  <w:style w:type="character" w:styleId="Refdecomentrio">
    <w:name w:val="annotation reference"/>
    <w:basedOn w:val="Fontepargpadro"/>
    <w:uiPriority w:val="99"/>
    <w:semiHidden/>
    <w:unhideWhenUsed/>
    <w:rsid w:val="00812146"/>
    <w:rPr>
      <w:sz w:val="16"/>
      <w:szCs w:val="16"/>
    </w:rPr>
  </w:style>
  <w:style w:type="paragraph" w:styleId="Textodecomentrio">
    <w:name w:val="annotation text"/>
    <w:basedOn w:val="Normal"/>
    <w:link w:val="TextodecomentrioChar"/>
    <w:uiPriority w:val="99"/>
    <w:semiHidden/>
    <w:unhideWhenUsed/>
    <w:rsid w:val="00812146"/>
    <w:rPr>
      <w:sz w:val="20"/>
      <w:szCs w:val="20"/>
    </w:rPr>
  </w:style>
  <w:style w:type="character" w:customStyle="1" w:styleId="TextodecomentrioChar">
    <w:name w:val="Texto de comentário Char"/>
    <w:basedOn w:val="Fontepargpadro"/>
    <w:link w:val="Textodecomentrio"/>
    <w:uiPriority w:val="99"/>
    <w:semiHidden/>
    <w:rsid w:val="00812146"/>
    <w:rPr>
      <w:sz w:val="20"/>
      <w:szCs w:val="20"/>
    </w:rPr>
  </w:style>
  <w:style w:type="paragraph" w:styleId="Assuntodocomentrio">
    <w:name w:val="annotation subject"/>
    <w:basedOn w:val="Textodecomentrio"/>
    <w:next w:val="Textodecomentrio"/>
    <w:link w:val="AssuntodocomentrioChar"/>
    <w:uiPriority w:val="99"/>
    <w:semiHidden/>
    <w:unhideWhenUsed/>
    <w:rsid w:val="00812146"/>
    <w:rPr>
      <w:b/>
      <w:bCs/>
    </w:rPr>
  </w:style>
  <w:style w:type="character" w:customStyle="1" w:styleId="AssuntodocomentrioChar">
    <w:name w:val="Assunto do comentário Char"/>
    <w:basedOn w:val="TextodecomentrioChar"/>
    <w:link w:val="Assuntodocomentrio"/>
    <w:uiPriority w:val="99"/>
    <w:semiHidden/>
    <w:rsid w:val="00812146"/>
    <w:rPr>
      <w:b/>
      <w:bCs/>
      <w:sz w:val="20"/>
      <w:szCs w:val="20"/>
    </w:rPr>
  </w:style>
  <w:style w:type="character" w:styleId="HiperlinkVisitado">
    <w:name w:val="FollowedHyperlink"/>
    <w:basedOn w:val="Fontepargpadro"/>
    <w:uiPriority w:val="99"/>
    <w:semiHidden/>
    <w:unhideWhenUsed/>
    <w:rsid w:val="00E3029F"/>
    <w:rPr>
      <w:color w:val="800080" w:themeColor="followedHyperlink"/>
      <w:u w:val="single"/>
    </w:rPr>
  </w:style>
  <w:style w:type="paragraph" w:styleId="PargrafodaLista">
    <w:name w:val="List Paragraph"/>
    <w:basedOn w:val="Normal"/>
    <w:uiPriority w:val="34"/>
    <w:qFormat/>
    <w:rsid w:val="005B0ACB"/>
    <w:pPr>
      <w:ind w:left="720"/>
      <w:contextualSpacing/>
    </w:pPr>
  </w:style>
  <w:style w:type="paragraph" w:customStyle="1" w:styleId="LARESAuthors">
    <w:name w:val="LARES Authors"/>
    <w:next w:val="LARESAddresses"/>
    <w:rsid w:val="0034139D"/>
    <w:pPr>
      <w:spacing w:after="240"/>
      <w:jc w:val="center"/>
    </w:pPr>
    <w:rPr>
      <w:rFonts w:eastAsia="Times New Roman" w:cs="Times New Roman"/>
      <w:b/>
      <w:szCs w:val="20"/>
      <w:lang w:val="en-GB"/>
    </w:rPr>
  </w:style>
  <w:style w:type="paragraph" w:customStyle="1" w:styleId="LARESTitle">
    <w:name w:val="LARES Title"/>
    <w:next w:val="LARESAuthors"/>
    <w:autoRedefine/>
    <w:rsid w:val="0034139D"/>
    <w:pPr>
      <w:spacing w:after="240"/>
      <w:jc w:val="center"/>
    </w:pPr>
    <w:rPr>
      <w:rFonts w:ascii="Arial" w:eastAsia="Arial" w:hAnsi="Arial" w:cs="Times New Roman"/>
      <w:b/>
      <w:sz w:val="28"/>
      <w:szCs w:val="28"/>
      <w:lang w:val="en-GB"/>
    </w:rPr>
  </w:style>
  <w:style w:type="paragraph" w:customStyle="1" w:styleId="LARESAddresses">
    <w:name w:val="LARES Addresses"/>
    <w:rsid w:val="0034139D"/>
    <w:pPr>
      <w:spacing w:after="120"/>
      <w:jc w:val="center"/>
    </w:pPr>
    <w:rPr>
      <w:rFonts w:eastAsia="Times New Roman" w:cs="Times New Roman"/>
      <w:sz w:val="20"/>
      <w:szCs w:val="20"/>
      <w:lang w:val="en-GB"/>
    </w:rPr>
  </w:style>
  <w:style w:type="paragraph" w:customStyle="1" w:styleId="LARESKeywords">
    <w:name w:val="LARES Keywords"/>
    <w:rsid w:val="0034139D"/>
    <w:pPr>
      <w:spacing w:before="120" w:after="120"/>
    </w:pPr>
    <w:rPr>
      <w:rFonts w:eastAsia="Times New Roman" w:cs="Times New Roman"/>
      <w:sz w:val="22"/>
      <w:szCs w:val="20"/>
      <w:lang w:val="en-GB"/>
    </w:rPr>
  </w:style>
  <w:style w:type="paragraph" w:customStyle="1" w:styleId="LARESAbstractHeading">
    <w:name w:val="LARES Abstract Heading"/>
    <w:rsid w:val="0034139D"/>
    <w:pPr>
      <w:spacing w:before="360" w:after="240"/>
      <w:jc w:val="center"/>
    </w:pPr>
    <w:rPr>
      <w:rFonts w:eastAsia="Times New Roman" w:cs="Times New Roman"/>
      <w:b/>
      <w:caps/>
      <w:szCs w:val="20"/>
      <w:lang w:val="en-GB"/>
    </w:rPr>
  </w:style>
  <w:style w:type="paragraph" w:customStyle="1" w:styleId="LARESBodytext">
    <w:name w:val="LARES Body text"/>
    <w:rsid w:val="0034139D"/>
    <w:pPr>
      <w:jc w:val="both"/>
    </w:pPr>
    <w:rPr>
      <w:rFonts w:eastAsia="Times New Roman" w:cs="Times New Roman"/>
      <w:szCs w:val="20"/>
      <w:lang w:val="en-GB"/>
    </w:rPr>
  </w:style>
  <w:style w:type="paragraph" w:customStyle="1" w:styleId="LARESAbstracttext">
    <w:name w:val="LARES Abstract text"/>
    <w:basedOn w:val="LARESBodytext"/>
    <w:rsid w:val="0034139D"/>
    <w:rPr>
      <w:sz w:val="22"/>
      <w:lang w:val="pt-BR"/>
    </w:rPr>
  </w:style>
  <w:style w:type="paragraph" w:styleId="NormalWeb">
    <w:name w:val="Normal (Web)"/>
    <w:basedOn w:val="Normal"/>
    <w:uiPriority w:val="99"/>
    <w:semiHidden/>
    <w:unhideWhenUsed/>
    <w:rsid w:val="00E0669E"/>
    <w:pPr>
      <w:spacing w:before="100" w:beforeAutospacing="1" w:after="100" w:afterAutospacing="1"/>
    </w:pPr>
    <w:rPr>
      <w:rFonts w:eastAsia="Times New Roman" w:cs="Times New Roman"/>
      <w:szCs w:val="24"/>
      <w:lang w:eastAsia="pt-BR"/>
    </w:rPr>
  </w:style>
  <w:style w:type="character" w:customStyle="1" w:styleId="Ttulo1Char">
    <w:name w:val="Título 1 Char"/>
    <w:basedOn w:val="Fontepargpadro"/>
    <w:link w:val="Ttulo1"/>
    <w:uiPriority w:val="9"/>
    <w:rsid w:val="000D44A6"/>
    <w:rPr>
      <w:rFonts w:eastAsia="Times New Roman" w:cs="Times New Roman"/>
      <w:b/>
      <w:bCs/>
      <w:kern w:val="36"/>
      <w:sz w:val="48"/>
      <w:szCs w:val="48"/>
      <w:lang w:eastAsia="pt-BR"/>
    </w:rPr>
  </w:style>
  <w:style w:type="paragraph" w:styleId="CabealhodoSumrio">
    <w:name w:val="TOC Heading"/>
    <w:basedOn w:val="Ttulo1"/>
    <w:next w:val="Normal"/>
    <w:uiPriority w:val="39"/>
    <w:semiHidden/>
    <w:unhideWhenUsed/>
    <w:qFormat/>
    <w:rsid w:val="003F114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umrio1">
    <w:name w:val="toc 1"/>
    <w:basedOn w:val="Normal"/>
    <w:next w:val="Normal"/>
    <w:autoRedefine/>
    <w:uiPriority w:val="39"/>
    <w:unhideWhenUsed/>
    <w:rsid w:val="003F1145"/>
    <w:pPr>
      <w:spacing w:after="100"/>
    </w:pPr>
  </w:style>
  <w:style w:type="character" w:customStyle="1" w:styleId="Ttulo2Char">
    <w:name w:val="Título 2 Char"/>
    <w:basedOn w:val="Fontepargpadro"/>
    <w:link w:val="Ttulo2"/>
    <w:uiPriority w:val="9"/>
    <w:semiHidden/>
    <w:rsid w:val="003F1145"/>
    <w:rPr>
      <w:rFonts w:asciiTheme="majorHAnsi" w:eastAsiaTheme="majorEastAsia" w:hAnsiTheme="majorHAnsi" w:cstheme="majorBidi"/>
      <w:b/>
      <w:bCs/>
      <w:color w:val="4F81BD" w:themeColor="accent1"/>
      <w:sz w:val="26"/>
      <w:szCs w:val="26"/>
    </w:rPr>
  </w:style>
  <w:style w:type="paragraph" w:styleId="Sumrio2">
    <w:name w:val="toc 2"/>
    <w:basedOn w:val="Normal"/>
    <w:next w:val="Normal"/>
    <w:autoRedefine/>
    <w:uiPriority w:val="39"/>
    <w:unhideWhenUsed/>
    <w:rsid w:val="003F1145"/>
    <w:pPr>
      <w:spacing w:after="100"/>
      <w:ind w:left="240"/>
    </w:pPr>
  </w:style>
  <w:style w:type="character" w:customStyle="1" w:styleId="Ttulo3Char">
    <w:name w:val="Título 3 Char"/>
    <w:basedOn w:val="Fontepargpadro"/>
    <w:link w:val="Ttulo3"/>
    <w:uiPriority w:val="9"/>
    <w:semiHidden/>
    <w:rsid w:val="00933F63"/>
    <w:rPr>
      <w:rFonts w:asciiTheme="majorHAnsi" w:eastAsiaTheme="majorEastAsia" w:hAnsiTheme="majorHAnsi" w:cstheme="majorBidi"/>
      <w:b/>
      <w:bCs/>
      <w:color w:val="4F81BD" w:themeColor="accent1"/>
    </w:rPr>
  </w:style>
  <w:style w:type="paragraph" w:styleId="Sumrio3">
    <w:name w:val="toc 3"/>
    <w:basedOn w:val="Normal"/>
    <w:next w:val="Normal"/>
    <w:autoRedefine/>
    <w:uiPriority w:val="39"/>
    <w:unhideWhenUsed/>
    <w:rsid w:val="00933F6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2142">
      <w:bodyDiv w:val="1"/>
      <w:marLeft w:val="0"/>
      <w:marRight w:val="0"/>
      <w:marTop w:val="0"/>
      <w:marBottom w:val="0"/>
      <w:divBdr>
        <w:top w:val="none" w:sz="0" w:space="0" w:color="auto"/>
        <w:left w:val="none" w:sz="0" w:space="0" w:color="auto"/>
        <w:bottom w:val="none" w:sz="0" w:space="0" w:color="auto"/>
        <w:right w:val="none" w:sz="0" w:space="0" w:color="auto"/>
      </w:divBdr>
    </w:div>
    <w:div w:id="173493718">
      <w:bodyDiv w:val="1"/>
      <w:marLeft w:val="0"/>
      <w:marRight w:val="0"/>
      <w:marTop w:val="0"/>
      <w:marBottom w:val="0"/>
      <w:divBdr>
        <w:top w:val="none" w:sz="0" w:space="0" w:color="auto"/>
        <w:left w:val="none" w:sz="0" w:space="0" w:color="auto"/>
        <w:bottom w:val="none" w:sz="0" w:space="0" w:color="auto"/>
        <w:right w:val="none" w:sz="0" w:space="0" w:color="auto"/>
      </w:divBdr>
      <w:divsChild>
        <w:div w:id="1390569886">
          <w:marLeft w:val="0"/>
          <w:marRight w:val="0"/>
          <w:marTop w:val="0"/>
          <w:marBottom w:val="0"/>
          <w:divBdr>
            <w:top w:val="none" w:sz="0" w:space="0" w:color="auto"/>
            <w:left w:val="none" w:sz="0" w:space="0" w:color="auto"/>
            <w:bottom w:val="none" w:sz="0" w:space="0" w:color="auto"/>
            <w:right w:val="none" w:sz="0" w:space="0" w:color="auto"/>
          </w:divBdr>
          <w:divsChild>
            <w:div w:id="1388334411">
              <w:marLeft w:val="0"/>
              <w:marRight w:val="0"/>
              <w:marTop w:val="0"/>
              <w:marBottom w:val="0"/>
              <w:divBdr>
                <w:top w:val="none" w:sz="0" w:space="0" w:color="auto"/>
                <w:left w:val="none" w:sz="0" w:space="0" w:color="auto"/>
                <w:bottom w:val="none" w:sz="0" w:space="0" w:color="auto"/>
                <w:right w:val="none" w:sz="0" w:space="0" w:color="auto"/>
              </w:divBdr>
              <w:divsChild>
                <w:div w:id="268854301">
                  <w:marLeft w:val="0"/>
                  <w:marRight w:val="0"/>
                  <w:marTop w:val="0"/>
                  <w:marBottom w:val="0"/>
                  <w:divBdr>
                    <w:top w:val="none" w:sz="0" w:space="0" w:color="auto"/>
                    <w:left w:val="none" w:sz="0" w:space="0" w:color="auto"/>
                    <w:bottom w:val="none" w:sz="0" w:space="0" w:color="auto"/>
                    <w:right w:val="none" w:sz="0" w:space="0" w:color="auto"/>
                  </w:divBdr>
                  <w:divsChild>
                    <w:div w:id="860317884">
                      <w:marLeft w:val="0"/>
                      <w:marRight w:val="0"/>
                      <w:marTop w:val="45"/>
                      <w:marBottom w:val="0"/>
                      <w:divBdr>
                        <w:top w:val="none" w:sz="0" w:space="0" w:color="auto"/>
                        <w:left w:val="none" w:sz="0" w:space="0" w:color="auto"/>
                        <w:bottom w:val="none" w:sz="0" w:space="0" w:color="auto"/>
                        <w:right w:val="none" w:sz="0" w:space="0" w:color="auto"/>
                      </w:divBdr>
                      <w:divsChild>
                        <w:div w:id="1418819387">
                          <w:marLeft w:val="0"/>
                          <w:marRight w:val="0"/>
                          <w:marTop w:val="0"/>
                          <w:marBottom w:val="0"/>
                          <w:divBdr>
                            <w:top w:val="none" w:sz="0" w:space="0" w:color="auto"/>
                            <w:left w:val="none" w:sz="0" w:space="0" w:color="auto"/>
                            <w:bottom w:val="none" w:sz="0" w:space="0" w:color="auto"/>
                            <w:right w:val="none" w:sz="0" w:space="0" w:color="auto"/>
                          </w:divBdr>
                          <w:divsChild>
                            <w:div w:id="174922262">
                              <w:marLeft w:val="2070"/>
                              <w:marRight w:val="3810"/>
                              <w:marTop w:val="0"/>
                              <w:marBottom w:val="0"/>
                              <w:divBdr>
                                <w:top w:val="none" w:sz="0" w:space="0" w:color="auto"/>
                                <w:left w:val="none" w:sz="0" w:space="0" w:color="auto"/>
                                <w:bottom w:val="none" w:sz="0" w:space="0" w:color="auto"/>
                                <w:right w:val="none" w:sz="0" w:space="0" w:color="auto"/>
                              </w:divBdr>
                              <w:divsChild>
                                <w:div w:id="908005130">
                                  <w:marLeft w:val="0"/>
                                  <w:marRight w:val="0"/>
                                  <w:marTop w:val="0"/>
                                  <w:marBottom w:val="0"/>
                                  <w:divBdr>
                                    <w:top w:val="none" w:sz="0" w:space="0" w:color="auto"/>
                                    <w:left w:val="none" w:sz="0" w:space="0" w:color="auto"/>
                                    <w:bottom w:val="none" w:sz="0" w:space="0" w:color="auto"/>
                                    <w:right w:val="none" w:sz="0" w:space="0" w:color="auto"/>
                                  </w:divBdr>
                                  <w:divsChild>
                                    <w:div w:id="1777099070">
                                      <w:marLeft w:val="0"/>
                                      <w:marRight w:val="0"/>
                                      <w:marTop w:val="0"/>
                                      <w:marBottom w:val="0"/>
                                      <w:divBdr>
                                        <w:top w:val="none" w:sz="0" w:space="0" w:color="auto"/>
                                        <w:left w:val="none" w:sz="0" w:space="0" w:color="auto"/>
                                        <w:bottom w:val="none" w:sz="0" w:space="0" w:color="auto"/>
                                        <w:right w:val="none" w:sz="0" w:space="0" w:color="auto"/>
                                      </w:divBdr>
                                      <w:divsChild>
                                        <w:div w:id="205996039">
                                          <w:marLeft w:val="0"/>
                                          <w:marRight w:val="0"/>
                                          <w:marTop w:val="0"/>
                                          <w:marBottom w:val="0"/>
                                          <w:divBdr>
                                            <w:top w:val="none" w:sz="0" w:space="0" w:color="auto"/>
                                            <w:left w:val="none" w:sz="0" w:space="0" w:color="auto"/>
                                            <w:bottom w:val="none" w:sz="0" w:space="0" w:color="auto"/>
                                            <w:right w:val="none" w:sz="0" w:space="0" w:color="auto"/>
                                          </w:divBdr>
                                          <w:divsChild>
                                            <w:div w:id="1168207353">
                                              <w:marLeft w:val="0"/>
                                              <w:marRight w:val="0"/>
                                              <w:marTop w:val="0"/>
                                              <w:marBottom w:val="0"/>
                                              <w:divBdr>
                                                <w:top w:val="none" w:sz="0" w:space="0" w:color="auto"/>
                                                <w:left w:val="none" w:sz="0" w:space="0" w:color="auto"/>
                                                <w:bottom w:val="none" w:sz="0" w:space="0" w:color="auto"/>
                                                <w:right w:val="none" w:sz="0" w:space="0" w:color="auto"/>
                                              </w:divBdr>
                                              <w:divsChild>
                                                <w:div w:id="1099789382">
                                                  <w:marLeft w:val="0"/>
                                                  <w:marRight w:val="0"/>
                                                  <w:marTop w:val="0"/>
                                                  <w:marBottom w:val="0"/>
                                                  <w:divBdr>
                                                    <w:top w:val="none" w:sz="0" w:space="0" w:color="auto"/>
                                                    <w:left w:val="none" w:sz="0" w:space="0" w:color="auto"/>
                                                    <w:bottom w:val="none" w:sz="0" w:space="0" w:color="auto"/>
                                                    <w:right w:val="none" w:sz="0" w:space="0" w:color="auto"/>
                                                  </w:divBdr>
                                                  <w:divsChild>
                                                    <w:div w:id="949701152">
                                                      <w:marLeft w:val="0"/>
                                                      <w:marRight w:val="0"/>
                                                      <w:marTop w:val="0"/>
                                                      <w:marBottom w:val="0"/>
                                                      <w:divBdr>
                                                        <w:top w:val="none" w:sz="0" w:space="0" w:color="auto"/>
                                                        <w:left w:val="none" w:sz="0" w:space="0" w:color="auto"/>
                                                        <w:bottom w:val="none" w:sz="0" w:space="0" w:color="auto"/>
                                                        <w:right w:val="none" w:sz="0" w:space="0" w:color="auto"/>
                                                      </w:divBdr>
                                                      <w:divsChild>
                                                        <w:div w:id="588923983">
                                                          <w:marLeft w:val="0"/>
                                                          <w:marRight w:val="0"/>
                                                          <w:marTop w:val="0"/>
                                                          <w:marBottom w:val="0"/>
                                                          <w:divBdr>
                                                            <w:top w:val="none" w:sz="0" w:space="0" w:color="auto"/>
                                                            <w:left w:val="none" w:sz="0" w:space="0" w:color="auto"/>
                                                            <w:bottom w:val="none" w:sz="0" w:space="0" w:color="auto"/>
                                                            <w:right w:val="none" w:sz="0" w:space="0" w:color="auto"/>
                                                          </w:divBdr>
                                                          <w:divsChild>
                                                            <w:div w:id="842402501">
                                                              <w:marLeft w:val="0"/>
                                                              <w:marRight w:val="0"/>
                                                              <w:marTop w:val="0"/>
                                                              <w:marBottom w:val="0"/>
                                                              <w:divBdr>
                                                                <w:top w:val="none" w:sz="0" w:space="0" w:color="auto"/>
                                                                <w:left w:val="none" w:sz="0" w:space="0" w:color="auto"/>
                                                                <w:bottom w:val="none" w:sz="0" w:space="0" w:color="auto"/>
                                                                <w:right w:val="none" w:sz="0" w:space="0" w:color="auto"/>
                                                              </w:divBdr>
                                                              <w:divsChild>
                                                                <w:div w:id="87970202">
                                                                  <w:marLeft w:val="0"/>
                                                                  <w:marRight w:val="0"/>
                                                                  <w:marTop w:val="0"/>
                                                                  <w:marBottom w:val="0"/>
                                                                  <w:divBdr>
                                                                    <w:top w:val="none" w:sz="0" w:space="0" w:color="auto"/>
                                                                    <w:left w:val="none" w:sz="0" w:space="0" w:color="auto"/>
                                                                    <w:bottom w:val="none" w:sz="0" w:space="0" w:color="auto"/>
                                                                    <w:right w:val="none" w:sz="0" w:space="0" w:color="auto"/>
                                                                  </w:divBdr>
                                                                  <w:divsChild>
                                                                    <w:div w:id="1011831921">
                                                                      <w:marLeft w:val="0"/>
                                                                      <w:marRight w:val="0"/>
                                                                      <w:marTop w:val="0"/>
                                                                      <w:marBottom w:val="0"/>
                                                                      <w:divBdr>
                                                                        <w:top w:val="none" w:sz="0" w:space="0" w:color="auto"/>
                                                                        <w:left w:val="none" w:sz="0" w:space="0" w:color="auto"/>
                                                                        <w:bottom w:val="none" w:sz="0" w:space="0" w:color="auto"/>
                                                                        <w:right w:val="none" w:sz="0" w:space="0" w:color="auto"/>
                                                                      </w:divBdr>
                                                                      <w:divsChild>
                                                                        <w:div w:id="902983646">
                                                                          <w:marLeft w:val="0"/>
                                                                          <w:marRight w:val="0"/>
                                                                          <w:marTop w:val="0"/>
                                                                          <w:marBottom w:val="0"/>
                                                                          <w:divBdr>
                                                                            <w:top w:val="none" w:sz="0" w:space="0" w:color="auto"/>
                                                                            <w:left w:val="none" w:sz="0" w:space="0" w:color="auto"/>
                                                                            <w:bottom w:val="none" w:sz="0" w:space="0" w:color="auto"/>
                                                                            <w:right w:val="none" w:sz="0" w:space="0" w:color="auto"/>
                                                                          </w:divBdr>
                                                                          <w:divsChild>
                                                                            <w:div w:id="79378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34697">
      <w:bodyDiv w:val="1"/>
      <w:marLeft w:val="0"/>
      <w:marRight w:val="0"/>
      <w:marTop w:val="0"/>
      <w:marBottom w:val="0"/>
      <w:divBdr>
        <w:top w:val="none" w:sz="0" w:space="0" w:color="auto"/>
        <w:left w:val="none" w:sz="0" w:space="0" w:color="auto"/>
        <w:bottom w:val="none" w:sz="0" w:space="0" w:color="auto"/>
        <w:right w:val="none" w:sz="0" w:space="0" w:color="auto"/>
      </w:divBdr>
    </w:div>
    <w:div w:id="351541243">
      <w:bodyDiv w:val="1"/>
      <w:marLeft w:val="0"/>
      <w:marRight w:val="0"/>
      <w:marTop w:val="0"/>
      <w:marBottom w:val="0"/>
      <w:divBdr>
        <w:top w:val="none" w:sz="0" w:space="0" w:color="auto"/>
        <w:left w:val="none" w:sz="0" w:space="0" w:color="auto"/>
        <w:bottom w:val="none" w:sz="0" w:space="0" w:color="auto"/>
        <w:right w:val="none" w:sz="0" w:space="0" w:color="auto"/>
      </w:divBdr>
    </w:div>
    <w:div w:id="678461319">
      <w:bodyDiv w:val="1"/>
      <w:marLeft w:val="0"/>
      <w:marRight w:val="0"/>
      <w:marTop w:val="0"/>
      <w:marBottom w:val="0"/>
      <w:divBdr>
        <w:top w:val="none" w:sz="0" w:space="0" w:color="auto"/>
        <w:left w:val="none" w:sz="0" w:space="0" w:color="auto"/>
        <w:bottom w:val="none" w:sz="0" w:space="0" w:color="auto"/>
        <w:right w:val="none" w:sz="0" w:space="0" w:color="auto"/>
      </w:divBdr>
      <w:divsChild>
        <w:div w:id="1865358823">
          <w:marLeft w:val="0"/>
          <w:marRight w:val="0"/>
          <w:marTop w:val="0"/>
          <w:marBottom w:val="0"/>
          <w:divBdr>
            <w:top w:val="none" w:sz="0" w:space="0" w:color="auto"/>
            <w:left w:val="none" w:sz="0" w:space="0" w:color="auto"/>
            <w:bottom w:val="none" w:sz="0" w:space="0" w:color="auto"/>
            <w:right w:val="none" w:sz="0" w:space="0" w:color="auto"/>
          </w:divBdr>
          <w:divsChild>
            <w:div w:id="245962680">
              <w:marLeft w:val="0"/>
              <w:marRight w:val="0"/>
              <w:marTop w:val="0"/>
              <w:marBottom w:val="0"/>
              <w:divBdr>
                <w:top w:val="none" w:sz="0" w:space="0" w:color="auto"/>
                <w:left w:val="none" w:sz="0" w:space="0" w:color="auto"/>
                <w:bottom w:val="none" w:sz="0" w:space="0" w:color="auto"/>
                <w:right w:val="none" w:sz="0" w:space="0" w:color="auto"/>
              </w:divBdr>
              <w:divsChild>
                <w:div w:id="353384128">
                  <w:marLeft w:val="0"/>
                  <w:marRight w:val="0"/>
                  <w:marTop w:val="0"/>
                  <w:marBottom w:val="0"/>
                  <w:divBdr>
                    <w:top w:val="none" w:sz="0" w:space="0" w:color="auto"/>
                    <w:left w:val="none" w:sz="0" w:space="0" w:color="auto"/>
                    <w:bottom w:val="none" w:sz="0" w:space="0" w:color="auto"/>
                    <w:right w:val="none" w:sz="0" w:space="0" w:color="auto"/>
                  </w:divBdr>
                  <w:divsChild>
                    <w:div w:id="2071034022">
                      <w:marLeft w:val="0"/>
                      <w:marRight w:val="0"/>
                      <w:marTop w:val="45"/>
                      <w:marBottom w:val="0"/>
                      <w:divBdr>
                        <w:top w:val="none" w:sz="0" w:space="0" w:color="auto"/>
                        <w:left w:val="none" w:sz="0" w:space="0" w:color="auto"/>
                        <w:bottom w:val="none" w:sz="0" w:space="0" w:color="auto"/>
                        <w:right w:val="none" w:sz="0" w:space="0" w:color="auto"/>
                      </w:divBdr>
                      <w:divsChild>
                        <w:div w:id="1195927729">
                          <w:marLeft w:val="0"/>
                          <w:marRight w:val="0"/>
                          <w:marTop w:val="0"/>
                          <w:marBottom w:val="0"/>
                          <w:divBdr>
                            <w:top w:val="none" w:sz="0" w:space="0" w:color="auto"/>
                            <w:left w:val="none" w:sz="0" w:space="0" w:color="auto"/>
                            <w:bottom w:val="none" w:sz="0" w:space="0" w:color="auto"/>
                            <w:right w:val="none" w:sz="0" w:space="0" w:color="auto"/>
                          </w:divBdr>
                          <w:divsChild>
                            <w:div w:id="7030594">
                              <w:marLeft w:val="2070"/>
                              <w:marRight w:val="3810"/>
                              <w:marTop w:val="0"/>
                              <w:marBottom w:val="0"/>
                              <w:divBdr>
                                <w:top w:val="none" w:sz="0" w:space="0" w:color="auto"/>
                                <w:left w:val="none" w:sz="0" w:space="0" w:color="auto"/>
                                <w:bottom w:val="none" w:sz="0" w:space="0" w:color="auto"/>
                                <w:right w:val="none" w:sz="0" w:space="0" w:color="auto"/>
                              </w:divBdr>
                              <w:divsChild>
                                <w:div w:id="1035666098">
                                  <w:marLeft w:val="0"/>
                                  <w:marRight w:val="0"/>
                                  <w:marTop w:val="0"/>
                                  <w:marBottom w:val="0"/>
                                  <w:divBdr>
                                    <w:top w:val="none" w:sz="0" w:space="0" w:color="auto"/>
                                    <w:left w:val="none" w:sz="0" w:space="0" w:color="auto"/>
                                    <w:bottom w:val="none" w:sz="0" w:space="0" w:color="auto"/>
                                    <w:right w:val="none" w:sz="0" w:space="0" w:color="auto"/>
                                  </w:divBdr>
                                  <w:divsChild>
                                    <w:div w:id="1598833223">
                                      <w:marLeft w:val="0"/>
                                      <w:marRight w:val="0"/>
                                      <w:marTop w:val="0"/>
                                      <w:marBottom w:val="0"/>
                                      <w:divBdr>
                                        <w:top w:val="none" w:sz="0" w:space="0" w:color="auto"/>
                                        <w:left w:val="none" w:sz="0" w:space="0" w:color="auto"/>
                                        <w:bottom w:val="none" w:sz="0" w:space="0" w:color="auto"/>
                                        <w:right w:val="none" w:sz="0" w:space="0" w:color="auto"/>
                                      </w:divBdr>
                                      <w:divsChild>
                                        <w:div w:id="1116438326">
                                          <w:marLeft w:val="0"/>
                                          <w:marRight w:val="0"/>
                                          <w:marTop w:val="0"/>
                                          <w:marBottom w:val="0"/>
                                          <w:divBdr>
                                            <w:top w:val="none" w:sz="0" w:space="0" w:color="auto"/>
                                            <w:left w:val="none" w:sz="0" w:space="0" w:color="auto"/>
                                            <w:bottom w:val="none" w:sz="0" w:space="0" w:color="auto"/>
                                            <w:right w:val="none" w:sz="0" w:space="0" w:color="auto"/>
                                          </w:divBdr>
                                          <w:divsChild>
                                            <w:div w:id="159929355">
                                              <w:marLeft w:val="0"/>
                                              <w:marRight w:val="0"/>
                                              <w:marTop w:val="0"/>
                                              <w:marBottom w:val="0"/>
                                              <w:divBdr>
                                                <w:top w:val="none" w:sz="0" w:space="0" w:color="auto"/>
                                                <w:left w:val="none" w:sz="0" w:space="0" w:color="auto"/>
                                                <w:bottom w:val="none" w:sz="0" w:space="0" w:color="auto"/>
                                                <w:right w:val="none" w:sz="0" w:space="0" w:color="auto"/>
                                              </w:divBdr>
                                              <w:divsChild>
                                                <w:div w:id="1204710057">
                                                  <w:marLeft w:val="0"/>
                                                  <w:marRight w:val="0"/>
                                                  <w:marTop w:val="0"/>
                                                  <w:marBottom w:val="0"/>
                                                  <w:divBdr>
                                                    <w:top w:val="none" w:sz="0" w:space="0" w:color="auto"/>
                                                    <w:left w:val="none" w:sz="0" w:space="0" w:color="auto"/>
                                                    <w:bottom w:val="none" w:sz="0" w:space="0" w:color="auto"/>
                                                    <w:right w:val="none" w:sz="0" w:space="0" w:color="auto"/>
                                                  </w:divBdr>
                                                  <w:divsChild>
                                                    <w:div w:id="666977083">
                                                      <w:marLeft w:val="0"/>
                                                      <w:marRight w:val="0"/>
                                                      <w:marTop w:val="0"/>
                                                      <w:marBottom w:val="0"/>
                                                      <w:divBdr>
                                                        <w:top w:val="none" w:sz="0" w:space="0" w:color="auto"/>
                                                        <w:left w:val="none" w:sz="0" w:space="0" w:color="auto"/>
                                                        <w:bottom w:val="none" w:sz="0" w:space="0" w:color="auto"/>
                                                        <w:right w:val="none" w:sz="0" w:space="0" w:color="auto"/>
                                                      </w:divBdr>
                                                      <w:divsChild>
                                                        <w:div w:id="1843659086">
                                                          <w:marLeft w:val="0"/>
                                                          <w:marRight w:val="0"/>
                                                          <w:marTop w:val="0"/>
                                                          <w:marBottom w:val="0"/>
                                                          <w:divBdr>
                                                            <w:top w:val="none" w:sz="0" w:space="0" w:color="auto"/>
                                                            <w:left w:val="none" w:sz="0" w:space="0" w:color="auto"/>
                                                            <w:bottom w:val="none" w:sz="0" w:space="0" w:color="auto"/>
                                                            <w:right w:val="none" w:sz="0" w:space="0" w:color="auto"/>
                                                          </w:divBdr>
                                                          <w:divsChild>
                                                            <w:div w:id="1279602023">
                                                              <w:marLeft w:val="0"/>
                                                              <w:marRight w:val="0"/>
                                                              <w:marTop w:val="0"/>
                                                              <w:marBottom w:val="0"/>
                                                              <w:divBdr>
                                                                <w:top w:val="none" w:sz="0" w:space="0" w:color="auto"/>
                                                                <w:left w:val="none" w:sz="0" w:space="0" w:color="auto"/>
                                                                <w:bottom w:val="none" w:sz="0" w:space="0" w:color="auto"/>
                                                                <w:right w:val="none" w:sz="0" w:space="0" w:color="auto"/>
                                                              </w:divBdr>
                                                              <w:divsChild>
                                                                <w:div w:id="568224033">
                                                                  <w:marLeft w:val="0"/>
                                                                  <w:marRight w:val="0"/>
                                                                  <w:marTop w:val="0"/>
                                                                  <w:marBottom w:val="0"/>
                                                                  <w:divBdr>
                                                                    <w:top w:val="none" w:sz="0" w:space="0" w:color="auto"/>
                                                                    <w:left w:val="none" w:sz="0" w:space="0" w:color="auto"/>
                                                                    <w:bottom w:val="none" w:sz="0" w:space="0" w:color="auto"/>
                                                                    <w:right w:val="none" w:sz="0" w:space="0" w:color="auto"/>
                                                                  </w:divBdr>
                                                                  <w:divsChild>
                                                                    <w:div w:id="1035691623">
                                                                      <w:marLeft w:val="0"/>
                                                                      <w:marRight w:val="0"/>
                                                                      <w:marTop w:val="0"/>
                                                                      <w:marBottom w:val="0"/>
                                                                      <w:divBdr>
                                                                        <w:top w:val="none" w:sz="0" w:space="0" w:color="auto"/>
                                                                        <w:left w:val="none" w:sz="0" w:space="0" w:color="auto"/>
                                                                        <w:bottom w:val="none" w:sz="0" w:space="0" w:color="auto"/>
                                                                        <w:right w:val="none" w:sz="0" w:space="0" w:color="auto"/>
                                                                      </w:divBdr>
                                                                      <w:divsChild>
                                                                        <w:div w:id="312490293">
                                                                          <w:marLeft w:val="0"/>
                                                                          <w:marRight w:val="0"/>
                                                                          <w:marTop w:val="0"/>
                                                                          <w:marBottom w:val="0"/>
                                                                          <w:divBdr>
                                                                            <w:top w:val="none" w:sz="0" w:space="0" w:color="auto"/>
                                                                            <w:left w:val="none" w:sz="0" w:space="0" w:color="auto"/>
                                                                            <w:bottom w:val="none" w:sz="0" w:space="0" w:color="auto"/>
                                                                            <w:right w:val="none" w:sz="0" w:space="0" w:color="auto"/>
                                                                          </w:divBdr>
                                                                          <w:divsChild>
                                                                            <w:div w:id="1284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087241">
      <w:bodyDiv w:val="1"/>
      <w:marLeft w:val="0"/>
      <w:marRight w:val="0"/>
      <w:marTop w:val="0"/>
      <w:marBottom w:val="0"/>
      <w:divBdr>
        <w:top w:val="none" w:sz="0" w:space="0" w:color="auto"/>
        <w:left w:val="none" w:sz="0" w:space="0" w:color="auto"/>
        <w:bottom w:val="none" w:sz="0" w:space="0" w:color="auto"/>
        <w:right w:val="none" w:sz="0" w:space="0" w:color="auto"/>
      </w:divBdr>
    </w:div>
    <w:div w:id="865756261">
      <w:bodyDiv w:val="1"/>
      <w:marLeft w:val="0"/>
      <w:marRight w:val="0"/>
      <w:marTop w:val="0"/>
      <w:marBottom w:val="0"/>
      <w:divBdr>
        <w:top w:val="none" w:sz="0" w:space="0" w:color="auto"/>
        <w:left w:val="none" w:sz="0" w:space="0" w:color="auto"/>
        <w:bottom w:val="none" w:sz="0" w:space="0" w:color="auto"/>
        <w:right w:val="none" w:sz="0" w:space="0" w:color="auto"/>
      </w:divBdr>
    </w:div>
    <w:div w:id="953049839">
      <w:bodyDiv w:val="1"/>
      <w:marLeft w:val="0"/>
      <w:marRight w:val="0"/>
      <w:marTop w:val="0"/>
      <w:marBottom w:val="0"/>
      <w:divBdr>
        <w:top w:val="none" w:sz="0" w:space="0" w:color="auto"/>
        <w:left w:val="none" w:sz="0" w:space="0" w:color="auto"/>
        <w:bottom w:val="none" w:sz="0" w:space="0" w:color="auto"/>
        <w:right w:val="none" w:sz="0" w:space="0" w:color="auto"/>
      </w:divBdr>
    </w:div>
    <w:div w:id="1349870233">
      <w:bodyDiv w:val="1"/>
      <w:marLeft w:val="0"/>
      <w:marRight w:val="0"/>
      <w:marTop w:val="0"/>
      <w:marBottom w:val="0"/>
      <w:divBdr>
        <w:top w:val="none" w:sz="0" w:space="0" w:color="auto"/>
        <w:left w:val="none" w:sz="0" w:space="0" w:color="auto"/>
        <w:bottom w:val="none" w:sz="0" w:space="0" w:color="auto"/>
        <w:right w:val="none" w:sz="0" w:space="0" w:color="auto"/>
      </w:divBdr>
    </w:div>
    <w:div w:id="1363289675">
      <w:bodyDiv w:val="1"/>
      <w:marLeft w:val="0"/>
      <w:marRight w:val="0"/>
      <w:marTop w:val="0"/>
      <w:marBottom w:val="0"/>
      <w:divBdr>
        <w:top w:val="none" w:sz="0" w:space="0" w:color="auto"/>
        <w:left w:val="none" w:sz="0" w:space="0" w:color="auto"/>
        <w:bottom w:val="none" w:sz="0" w:space="0" w:color="auto"/>
        <w:right w:val="none" w:sz="0" w:space="0" w:color="auto"/>
      </w:divBdr>
    </w:div>
    <w:div w:id="1980182873">
      <w:bodyDiv w:val="1"/>
      <w:marLeft w:val="0"/>
      <w:marRight w:val="0"/>
      <w:marTop w:val="0"/>
      <w:marBottom w:val="0"/>
      <w:divBdr>
        <w:top w:val="none" w:sz="0" w:space="0" w:color="auto"/>
        <w:left w:val="none" w:sz="0" w:space="0" w:color="auto"/>
        <w:bottom w:val="none" w:sz="0" w:space="0" w:color="auto"/>
        <w:right w:val="none" w:sz="0" w:space="0" w:color="auto"/>
      </w:divBdr>
      <w:divsChild>
        <w:div w:id="164829035">
          <w:marLeft w:val="0"/>
          <w:marRight w:val="0"/>
          <w:marTop w:val="0"/>
          <w:marBottom w:val="0"/>
          <w:divBdr>
            <w:top w:val="none" w:sz="0" w:space="0" w:color="auto"/>
            <w:left w:val="none" w:sz="0" w:space="0" w:color="auto"/>
            <w:bottom w:val="none" w:sz="0" w:space="0" w:color="auto"/>
            <w:right w:val="none" w:sz="0" w:space="0" w:color="auto"/>
          </w:divBdr>
          <w:divsChild>
            <w:div w:id="58016719">
              <w:marLeft w:val="0"/>
              <w:marRight w:val="0"/>
              <w:marTop w:val="0"/>
              <w:marBottom w:val="0"/>
              <w:divBdr>
                <w:top w:val="none" w:sz="0" w:space="0" w:color="auto"/>
                <w:left w:val="none" w:sz="0" w:space="0" w:color="auto"/>
                <w:bottom w:val="none" w:sz="0" w:space="0" w:color="auto"/>
                <w:right w:val="none" w:sz="0" w:space="0" w:color="auto"/>
              </w:divBdr>
              <w:divsChild>
                <w:div w:id="570504196">
                  <w:marLeft w:val="0"/>
                  <w:marRight w:val="0"/>
                  <w:marTop w:val="0"/>
                  <w:marBottom w:val="0"/>
                  <w:divBdr>
                    <w:top w:val="none" w:sz="0" w:space="0" w:color="auto"/>
                    <w:left w:val="none" w:sz="0" w:space="0" w:color="auto"/>
                    <w:bottom w:val="none" w:sz="0" w:space="0" w:color="auto"/>
                    <w:right w:val="none" w:sz="0" w:space="0" w:color="auto"/>
                  </w:divBdr>
                  <w:divsChild>
                    <w:div w:id="552235360">
                      <w:marLeft w:val="0"/>
                      <w:marRight w:val="0"/>
                      <w:marTop w:val="45"/>
                      <w:marBottom w:val="0"/>
                      <w:divBdr>
                        <w:top w:val="none" w:sz="0" w:space="0" w:color="auto"/>
                        <w:left w:val="none" w:sz="0" w:space="0" w:color="auto"/>
                        <w:bottom w:val="none" w:sz="0" w:space="0" w:color="auto"/>
                        <w:right w:val="none" w:sz="0" w:space="0" w:color="auto"/>
                      </w:divBdr>
                      <w:divsChild>
                        <w:div w:id="1604461955">
                          <w:marLeft w:val="0"/>
                          <w:marRight w:val="0"/>
                          <w:marTop w:val="0"/>
                          <w:marBottom w:val="0"/>
                          <w:divBdr>
                            <w:top w:val="none" w:sz="0" w:space="0" w:color="auto"/>
                            <w:left w:val="none" w:sz="0" w:space="0" w:color="auto"/>
                            <w:bottom w:val="none" w:sz="0" w:space="0" w:color="auto"/>
                            <w:right w:val="none" w:sz="0" w:space="0" w:color="auto"/>
                          </w:divBdr>
                          <w:divsChild>
                            <w:div w:id="1480268841">
                              <w:marLeft w:val="2070"/>
                              <w:marRight w:val="3810"/>
                              <w:marTop w:val="0"/>
                              <w:marBottom w:val="0"/>
                              <w:divBdr>
                                <w:top w:val="none" w:sz="0" w:space="0" w:color="auto"/>
                                <w:left w:val="none" w:sz="0" w:space="0" w:color="auto"/>
                                <w:bottom w:val="none" w:sz="0" w:space="0" w:color="auto"/>
                                <w:right w:val="none" w:sz="0" w:space="0" w:color="auto"/>
                              </w:divBdr>
                              <w:divsChild>
                                <w:div w:id="719281508">
                                  <w:marLeft w:val="0"/>
                                  <w:marRight w:val="0"/>
                                  <w:marTop w:val="0"/>
                                  <w:marBottom w:val="0"/>
                                  <w:divBdr>
                                    <w:top w:val="none" w:sz="0" w:space="0" w:color="auto"/>
                                    <w:left w:val="none" w:sz="0" w:space="0" w:color="auto"/>
                                    <w:bottom w:val="none" w:sz="0" w:space="0" w:color="auto"/>
                                    <w:right w:val="none" w:sz="0" w:space="0" w:color="auto"/>
                                  </w:divBdr>
                                  <w:divsChild>
                                    <w:div w:id="1117481339">
                                      <w:marLeft w:val="0"/>
                                      <w:marRight w:val="0"/>
                                      <w:marTop w:val="0"/>
                                      <w:marBottom w:val="0"/>
                                      <w:divBdr>
                                        <w:top w:val="none" w:sz="0" w:space="0" w:color="auto"/>
                                        <w:left w:val="none" w:sz="0" w:space="0" w:color="auto"/>
                                        <w:bottom w:val="none" w:sz="0" w:space="0" w:color="auto"/>
                                        <w:right w:val="none" w:sz="0" w:space="0" w:color="auto"/>
                                      </w:divBdr>
                                      <w:divsChild>
                                        <w:div w:id="233781961">
                                          <w:marLeft w:val="0"/>
                                          <w:marRight w:val="0"/>
                                          <w:marTop w:val="0"/>
                                          <w:marBottom w:val="0"/>
                                          <w:divBdr>
                                            <w:top w:val="none" w:sz="0" w:space="0" w:color="auto"/>
                                            <w:left w:val="none" w:sz="0" w:space="0" w:color="auto"/>
                                            <w:bottom w:val="none" w:sz="0" w:space="0" w:color="auto"/>
                                            <w:right w:val="none" w:sz="0" w:space="0" w:color="auto"/>
                                          </w:divBdr>
                                          <w:divsChild>
                                            <w:div w:id="379130721">
                                              <w:marLeft w:val="0"/>
                                              <w:marRight w:val="0"/>
                                              <w:marTop w:val="0"/>
                                              <w:marBottom w:val="0"/>
                                              <w:divBdr>
                                                <w:top w:val="none" w:sz="0" w:space="0" w:color="auto"/>
                                                <w:left w:val="none" w:sz="0" w:space="0" w:color="auto"/>
                                                <w:bottom w:val="none" w:sz="0" w:space="0" w:color="auto"/>
                                                <w:right w:val="none" w:sz="0" w:space="0" w:color="auto"/>
                                              </w:divBdr>
                                              <w:divsChild>
                                                <w:div w:id="1626229762">
                                                  <w:marLeft w:val="0"/>
                                                  <w:marRight w:val="0"/>
                                                  <w:marTop w:val="0"/>
                                                  <w:marBottom w:val="0"/>
                                                  <w:divBdr>
                                                    <w:top w:val="none" w:sz="0" w:space="0" w:color="auto"/>
                                                    <w:left w:val="none" w:sz="0" w:space="0" w:color="auto"/>
                                                    <w:bottom w:val="none" w:sz="0" w:space="0" w:color="auto"/>
                                                    <w:right w:val="none" w:sz="0" w:space="0" w:color="auto"/>
                                                  </w:divBdr>
                                                  <w:divsChild>
                                                    <w:div w:id="248009179">
                                                      <w:marLeft w:val="0"/>
                                                      <w:marRight w:val="0"/>
                                                      <w:marTop w:val="0"/>
                                                      <w:marBottom w:val="0"/>
                                                      <w:divBdr>
                                                        <w:top w:val="none" w:sz="0" w:space="0" w:color="auto"/>
                                                        <w:left w:val="none" w:sz="0" w:space="0" w:color="auto"/>
                                                        <w:bottom w:val="none" w:sz="0" w:space="0" w:color="auto"/>
                                                        <w:right w:val="none" w:sz="0" w:space="0" w:color="auto"/>
                                                      </w:divBdr>
                                                      <w:divsChild>
                                                        <w:div w:id="312415797">
                                                          <w:marLeft w:val="0"/>
                                                          <w:marRight w:val="0"/>
                                                          <w:marTop w:val="0"/>
                                                          <w:marBottom w:val="0"/>
                                                          <w:divBdr>
                                                            <w:top w:val="none" w:sz="0" w:space="0" w:color="auto"/>
                                                            <w:left w:val="none" w:sz="0" w:space="0" w:color="auto"/>
                                                            <w:bottom w:val="none" w:sz="0" w:space="0" w:color="auto"/>
                                                            <w:right w:val="none" w:sz="0" w:space="0" w:color="auto"/>
                                                          </w:divBdr>
                                                          <w:divsChild>
                                                            <w:div w:id="2081059355">
                                                              <w:marLeft w:val="0"/>
                                                              <w:marRight w:val="0"/>
                                                              <w:marTop w:val="0"/>
                                                              <w:marBottom w:val="0"/>
                                                              <w:divBdr>
                                                                <w:top w:val="none" w:sz="0" w:space="0" w:color="auto"/>
                                                                <w:left w:val="none" w:sz="0" w:space="0" w:color="auto"/>
                                                                <w:bottom w:val="none" w:sz="0" w:space="0" w:color="auto"/>
                                                                <w:right w:val="none" w:sz="0" w:space="0" w:color="auto"/>
                                                              </w:divBdr>
                                                              <w:divsChild>
                                                                <w:div w:id="1105153162">
                                                                  <w:marLeft w:val="0"/>
                                                                  <w:marRight w:val="0"/>
                                                                  <w:marTop w:val="0"/>
                                                                  <w:marBottom w:val="0"/>
                                                                  <w:divBdr>
                                                                    <w:top w:val="none" w:sz="0" w:space="0" w:color="auto"/>
                                                                    <w:left w:val="none" w:sz="0" w:space="0" w:color="auto"/>
                                                                    <w:bottom w:val="none" w:sz="0" w:space="0" w:color="auto"/>
                                                                    <w:right w:val="none" w:sz="0" w:space="0" w:color="auto"/>
                                                                  </w:divBdr>
                                                                  <w:divsChild>
                                                                    <w:div w:id="540434464">
                                                                      <w:marLeft w:val="0"/>
                                                                      <w:marRight w:val="0"/>
                                                                      <w:marTop w:val="0"/>
                                                                      <w:marBottom w:val="0"/>
                                                                      <w:divBdr>
                                                                        <w:top w:val="none" w:sz="0" w:space="0" w:color="auto"/>
                                                                        <w:left w:val="none" w:sz="0" w:space="0" w:color="auto"/>
                                                                        <w:bottom w:val="none" w:sz="0" w:space="0" w:color="auto"/>
                                                                        <w:right w:val="none" w:sz="0" w:space="0" w:color="auto"/>
                                                                      </w:divBdr>
                                                                      <w:divsChild>
                                                                        <w:div w:id="1247805491">
                                                                          <w:marLeft w:val="0"/>
                                                                          <w:marRight w:val="0"/>
                                                                          <w:marTop w:val="0"/>
                                                                          <w:marBottom w:val="0"/>
                                                                          <w:divBdr>
                                                                            <w:top w:val="none" w:sz="0" w:space="0" w:color="auto"/>
                                                                            <w:left w:val="none" w:sz="0" w:space="0" w:color="auto"/>
                                                                            <w:bottom w:val="none" w:sz="0" w:space="0" w:color="auto"/>
                                                                            <w:right w:val="none" w:sz="0" w:space="0" w:color="auto"/>
                                                                          </w:divBdr>
                                                                          <w:divsChild>
                                                                            <w:div w:id="44885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uegel.org/scholars/scholar-detail/scholar/301-yury-yatsynovich/" TargetMode="External"/><Relationship Id="rId18" Type="http://schemas.openxmlformats.org/officeDocument/2006/relationships/hyperlink" Target="https://www.bcb.gov.br/?RELESTAB20130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c.europa.eu/eurostat/documents/3859598/5925925/KS-RA-12-022-EN.PDF" TargetMode="External"/><Relationship Id="rId7" Type="http://schemas.openxmlformats.org/officeDocument/2006/relationships/footnotes" Target="footnotes.xml"/><Relationship Id="rId12" Type="http://schemas.openxmlformats.org/officeDocument/2006/relationships/hyperlink" Target="http://www.bruegel.org/scholars/scholar-detail/scholar/39-jeremie-cohen-setton/" TargetMode="External"/><Relationship Id="rId17" Type="http://schemas.openxmlformats.org/officeDocument/2006/relationships/image" Target="media/image4.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s://www.bis.org/publ/bppdf/bispap21.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secovi.com.br/files/Downloads/balanco-do-mercado-imobiliario-2014-v2pdf.pdf" TargetMode="External"/><Relationship Id="rId5" Type="http://schemas.openxmlformats.org/officeDocument/2006/relationships/settings" Target="settings.xml"/><Relationship Id="rId15" Type="http://schemas.openxmlformats.org/officeDocument/2006/relationships/hyperlink" Target="http://www.bruegel.org/scholars/scholar-detail/scholar/301-yury-yatsynovich/" TargetMode="External"/><Relationship Id="rId23" Type="http://schemas.openxmlformats.org/officeDocument/2006/relationships/hyperlink" Target="http://www.bruegel.org/nc/blog/detail/article/849-blogs-review-hp-filters-and-business-cycles/" TargetMode="External"/><Relationship Id="rId10" Type="http://schemas.openxmlformats.org/officeDocument/2006/relationships/header" Target="header1.xml"/><Relationship Id="rId19" Type="http://schemas.openxmlformats.org/officeDocument/2006/relationships/hyperlink" Target="http://www.bcb.gov.br/?sc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ruegel.org/scholars/scholar-detail/scholar/39-jeremie-cohen-setton/" TargetMode="External"/><Relationship Id="rId22" Type="http://schemas.openxmlformats.org/officeDocument/2006/relationships/hyperlink" Target="http://www.fipe.org.br/Content/downloads/indices/fipezap/metodologia/FipeZAP_RevMetodologia_v20140218.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ruegel.org/nc/blog/detail/article/849-blogs-review-hp-filters-and-business-cycles/" TargetMode="External"/><Relationship Id="rId2" Type="http://schemas.openxmlformats.org/officeDocument/2006/relationships/hyperlink" Target="http://www.bruegel.org/scholars/scholar-detail/scholar/301-yury-yatsynovich/" TargetMode="External"/><Relationship Id="rId1" Type="http://schemas.openxmlformats.org/officeDocument/2006/relationships/hyperlink" Target="http://www.bruegel.org/scholars/scholar-detail/scholar/39-jeremie-cohen-setton/" TargetMode="External"/><Relationship Id="rId5" Type="http://schemas.openxmlformats.org/officeDocument/2006/relationships/image" Target="media/image2.jpg"/><Relationship Id="rId4" Type="http://schemas.openxmlformats.org/officeDocument/2006/relationships/hyperlink" Target="http://research.stlouisfed.org/econ/bullard/pdf/BullardBipartisanPolicyCenter5June2012Final.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8A287-66F8-47EF-80DE-F8D2E7CBD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18</Pages>
  <Words>8756</Words>
  <Characters>47285</Characters>
  <Application>Microsoft Office Word</Application>
  <DocSecurity>0</DocSecurity>
  <Lines>394</Lines>
  <Paragraphs>111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Banco Central do Brasil</Company>
  <LinksUpToDate>false</LinksUpToDate>
  <CharactersWithSpaces>55930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Martins Gaiarsa</dc:creator>
  <cp:lastModifiedBy>Claudio Martins Gaiarsa</cp:lastModifiedBy>
  <cp:revision>7</cp:revision>
  <cp:lastPrinted>2015-07-15T20:00:00Z</cp:lastPrinted>
  <dcterms:created xsi:type="dcterms:W3CDTF">2015-07-27T12:46:00Z</dcterms:created>
  <dcterms:modified xsi:type="dcterms:W3CDTF">2015-07-27T13:33:00Z</dcterms:modified>
</cp:coreProperties>
</file>